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7A51BD72" w:rsidR="00D529E3" w:rsidRPr="00D529E3" w:rsidRDefault="005D5509" w:rsidP="00D529E3">
      <w:pPr>
        <w:spacing w:after="0" w:line="240" w:lineRule="auto"/>
        <w:jc w:val="center"/>
        <w:rPr>
          <w:b/>
          <w:bCs/>
          <w:sz w:val="36"/>
          <w:szCs w:val="36"/>
        </w:rPr>
      </w:pPr>
      <w:r>
        <w:rPr>
          <w:b/>
          <w:bCs/>
          <w:sz w:val="36"/>
          <w:szCs w:val="36"/>
        </w:rPr>
        <w:t>VERGİ MEVZUATINDAKİ GELİŞMELER</w:t>
      </w:r>
      <w:r w:rsidR="00D529E3" w:rsidRPr="00D529E3">
        <w:rPr>
          <w:b/>
          <w:bCs/>
          <w:sz w:val="36"/>
          <w:szCs w:val="36"/>
        </w:rPr>
        <w:t xml:space="preserve"> 2026/</w:t>
      </w:r>
      <w:r>
        <w:rPr>
          <w:b/>
          <w:bCs/>
          <w:sz w:val="36"/>
          <w:szCs w:val="36"/>
        </w:rPr>
        <w:t>HAZİRAN-4</w:t>
      </w:r>
    </w:p>
    <w:p w14:paraId="13966891" w14:textId="26E329CD" w:rsidR="00D529E3" w:rsidRPr="00D529E3" w:rsidRDefault="00D529E3" w:rsidP="00D529E3">
      <w:pPr>
        <w:spacing w:after="0" w:line="240" w:lineRule="auto"/>
        <w:jc w:val="center"/>
        <w:rPr>
          <w:b/>
          <w:bCs/>
          <w:sz w:val="18"/>
          <w:szCs w:val="18"/>
        </w:rPr>
      </w:pPr>
      <w:r w:rsidRPr="00D529E3">
        <w:rPr>
          <w:b/>
          <w:bCs/>
          <w:sz w:val="18"/>
          <w:szCs w:val="18"/>
        </w:rPr>
        <w:t>(</w:t>
      </w:r>
      <w:r w:rsidR="00B84BAD">
        <w:rPr>
          <w:b/>
          <w:bCs/>
          <w:sz w:val="18"/>
          <w:szCs w:val="18"/>
        </w:rPr>
        <w:t>20.</w:t>
      </w:r>
      <w:r w:rsidR="00DE6536">
        <w:rPr>
          <w:b/>
          <w:bCs/>
          <w:sz w:val="18"/>
          <w:szCs w:val="18"/>
        </w:rPr>
        <w:t>6</w:t>
      </w:r>
      <w:r w:rsidRPr="00D529E3">
        <w:rPr>
          <w:b/>
          <w:bCs/>
          <w:sz w:val="18"/>
          <w:szCs w:val="18"/>
        </w:rPr>
        <w:t>.2026</w:t>
      </w:r>
      <w:r w:rsidR="00B84BAD">
        <w:rPr>
          <w:b/>
          <w:bCs/>
          <w:sz w:val="18"/>
          <w:szCs w:val="18"/>
        </w:rPr>
        <w:t>-</w:t>
      </w:r>
      <w:r w:rsidR="001D08D9">
        <w:rPr>
          <w:b/>
          <w:bCs/>
          <w:sz w:val="18"/>
          <w:szCs w:val="18"/>
        </w:rPr>
        <w:t>22.06.2026</w:t>
      </w:r>
      <w:r w:rsidRPr="00D529E3">
        <w:rPr>
          <w:b/>
          <w:bCs/>
          <w:sz w:val="18"/>
          <w:szCs w:val="18"/>
        </w:rPr>
        <w:t>)</w:t>
      </w:r>
    </w:p>
    <w:p w14:paraId="559243FA" w14:textId="77777777" w:rsidR="00C23507" w:rsidRPr="00D23DAA" w:rsidRDefault="00C23507">
      <w:pPr>
        <w:rPr>
          <w:b/>
          <w:bCs/>
          <w:sz w:val="26"/>
          <w:szCs w:val="26"/>
        </w:rPr>
      </w:pPr>
    </w:p>
    <w:p w14:paraId="5758DDCA" w14:textId="77777777" w:rsidR="00B84BAD" w:rsidRPr="00B84BAD" w:rsidRDefault="00D23DAA" w:rsidP="00B84BAD">
      <w:pPr>
        <w:rPr>
          <w:b/>
          <w:bCs/>
          <w:sz w:val="26"/>
          <w:szCs w:val="26"/>
        </w:rPr>
      </w:pPr>
      <w:r w:rsidRPr="00B84BAD">
        <w:rPr>
          <w:b/>
          <w:bCs/>
          <w:sz w:val="26"/>
          <w:szCs w:val="26"/>
        </w:rPr>
        <w:t xml:space="preserve">I- </w:t>
      </w:r>
      <w:r w:rsidR="00B84BAD" w:rsidRPr="00B84BAD">
        <w:rPr>
          <w:b/>
          <w:bCs/>
          <w:sz w:val="26"/>
          <w:szCs w:val="26"/>
        </w:rPr>
        <w:t>GELİR VERGİSİ KANUNU’NUN GEÇİCİ 67. MADDESİNE İLİŞKİN 2006/10731 SAYILI BAKANLAR KURULU KARARINDAKİ SÜRE UZATILMIŞTIR</w:t>
      </w:r>
    </w:p>
    <w:p w14:paraId="074165D4" w14:textId="083F59D2" w:rsidR="00B84BAD" w:rsidRPr="00644D92" w:rsidRDefault="00B84BAD" w:rsidP="00B84BAD">
      <w:pPr>
        <w:jc w:val="both"/>
      </w:pPr>
      <w:r>
        <w:t>20</w:t>
      </w:r>
      <w:r w:rsidRPr="00644D92">
        <w:t xml:space="preserve"> </w:t>
      </w:r>
      <w:r>
        <w:t>Haziran</w:t>
      </w:r>
      <w:r w:rsidRPr="00644D92">
        <w:t xml:space="preserve"> 202</w:t>
      </w:r>
      <w:r>
        <w:t>6</w:t>
      </w:r>
      <w:r w:rsidRPr="00644D92">
        <w:t xml:space="preserve"> tarihli ve 332</w:t>
      </w:r>
      <w:r>
        <w:t>86</w:t>
      </w:r>
      <w:r w:rsidRPr="00644D92">
        <w:t xml:space="preserve"> sayılı Resm</w:t>
      </w:r>
      <w:r w:rsidR="000B7FD4">
        <w:t>î</w:t>
      </w:r>
      <w:r w:rsidRPr="00644D92">
        <w:t xml:space="preserve"> </w:t>
      </w:r>
      <w:proofErr w:type="spellStart"/>
      <w:r w:rsidRPr="00644D92">
        <w:t>Gazete’de</w:t>
      </w:r>
      <w:proofErr w:type="spellEnd"/>
      <w:r w:rsidRPr="00644D92">
        <w:t xml:space="preserve"> yayımlanan 1</w:t>
      </w:r>
      <w:r>
        <w:t>1444</w:t>
      </w:r>
      <w:r w:rsidRPr="00644D92">
        <w:t xml:space="preserve"> sayılı Cumhurbaşkanı Kararı ile “22/07/2006 tarihli ve 2006/10731 sayılı Bakanlar Kurulu Kararının eki Kararın geçici 4’üncü maddesinde yer alan “3</w:t>
      </w:r>
      <w:r>
        <w:t>0</w:t>
      </w:r>
      <w:r w:rsidRPr="00644D92">
        <w:t>/</w:t>
      </w:r>
      <w:r>
        <w:t>06</w:t>
      </w:r>
      <w:r w:rsidRPr="00644D92">
        <w:t>/202</w:t>
      </w:r>
      <w:r>
        <w:t>6</w:t>
      </w:r>
      <w:r w:rsidRPr="00644D92">
        <w:t>” ibaresi “3</w:t>
      </w:r>
      <w:r>
        <w:t>1</w:t>
      </w:r>
      <w:r w:rsidRPr="00644D92">
        <w:t>/</w:t>
      </w:r>
      <w:r>
        <w:t>12</w:t>
      </w:r>
      <w:r w:rsidRPr="00644D92">
        <w:t>/2026” şeklinde değiştirilmiştir.</w:t>
      </w:r>
    </w:p>
    <w:p w14:paraId="72EC2884" w14:textId="0BC0F7CF" w:rsidR="00B84BAD" w:rsidRPr="00644D92" w:rsidRDefault="00B84BAD" w:rsidP="00B84BAD">
      <w:pPr>
        <w:jc w:val="both"/>
      </w:pPr>
      <w:r w:rsidRPr="00644D92">
        <w:t>Bu Karar 01/0</w:t>
      </w:r>
      <w:r>
        <w:t>7</w:t>
      </w:r>
      <w:r w:rsidRPr="00644D92">
        <w:t>/2026 tarihinden itibaren iktisap edilen; Devlet tahvili ve Hazine bonoları ile 4749 sayılı Kamu Finansmanı ve Borç Yönetiminin Düzenlenmesi Hakkında Kanun uyarınca kurulan varlık kiralama şirketleri tarafından ihraç edilen kira sertifikalarından elde edilen gelir ve kazançlara uygulanmak üzere yayımı tarihinde yürürlüğe girmiştir.</w:t>
      </w:r>
    </w:p>
    <w:p w14:paraId="68DB3A20" w14:textId="77777777" w:rsidR="00B84BAD" w:rsidRPr="00644D92" w:rsidRDefault="00B84BAD" w:rsidP="00B84BAD">
      <w:pPr>
        <w:jc w:val="both"/>
      </w:pPr>
      <w:r w:rsidRPr="00644D92">
        <w:t>Yapılan değişiklik sonrasında 2006/10731 sayılı Bakanlar Kurulu Kararı’nın geçici 4. maddesinin son hali aşağıdaki gibi olmuştur:</w:t>
      </w:r>
    </w:p>
    <w:p w14:paraId="3D51C64D" w14:textId="77777777" w:rsidR="00B84BAD" w:rsidRDefault="00B84BAD" w:rsidP="00B84BAD">
      <w:pPr>
        <w:jc w:val="both"/>
        <w:rPr>
          <w:i/>
          <w:iCs/>
        </w:rPr>
      </w:pPr>
      <w:r w:rsidRPr="00644D92">
        <w:rPr>
          <w:i/>
          <w:iCs/>
        </w:rPr>
        <w:t>“</w:t>
      </w:r>
      <w:r w:rsidRPr="00644D92">
        <w:rPr>
          <w:b/>
          <w:bCs/>
          <w:i/>
          <w:iCs/>
        </w:rPr>
        <w:t>GEÇİCİ MADDE 4-</w:t>
      </w:r>
      <w:r w:rsidRPr="00644D92">
        <w:rPr>
          <w:i/>
          <w:iCs/>
        </w:rPr>
        <w:t xml:space="preserve"> Bu maddenin yürürlüğe girdiği tarih ile </w:t>
      </w:r>
      <w:r w:rsidRPr="00644D92">
        <w:rPr>
          <w:b/>
          <w:bCs/>
          <w:i/>
          <w:iCs/>
        </w:rPr>
        <w:t xml:space="preserve">31/12/2026 </w:t>
      </w:r>
      <w:r w:rsidRPr="00644D92">
        <w:rPr>
          <w:i/>
          <w:iCs/>
        </w:rPr>
        <w:t>tarihi (bu tarih dâhil) arasında iktisap edilen,  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1’inci maddesinin birinci fıkrasının (a) bendinin (1) ve (3) numaralı alt bentleri ile (ç) bendinde yer alan oranlar %0 uygulanır.”</w:t>
      </w:r>
    </w:p>
    <w:p w14:paraId="4BA3F016" w14:textId="77777777" w:rsidR="001D08D9" w:rsidRPr="001D08D9" w:rsidRDefault="001D08D9" w:rsidP="00B84BAD">
      <w:pPr>
        <w:jc w:val="both"/>
      </w:pPr>
    </w:p>
    <w:p w14:paraId="38EE911E" w14:textId="77777777" w:rsidR="001D08D9" w:rsidRPr="001D08D9" w:rsidRDefault="001D08D9" w:rsidP="001D08D9">
      <w:pPr>
        <w:jc w:val="both"/>
        <w:rPr>
          <w:b/>
          <w:bCs/>
          <w:sz w:val="26"/>
          <w:szCs w:val="26"/>
        </w:rPr>
      </w:pPr>
      <w:r w:rsidRPr="001D08D9">
        <w:rPr>
          <w:b/>
          <w:bCs/>
          <w:sz w:val="26"/>
          <w:szCs w:val="26"/>
        </w:rPr>
        <w:t>II- 2025 YILI HESAP DÖNEMİNE AİT GELİR VERGİSİ İSTİSNA, İNDİRİM VE UYGULAMA TASDİK RAPORLARININ DİJİTAL VERGİ DAİRESİ ÜZERİNDEN ELEKTRONİK ORTAMDA GÖNDERİLMESİNE İLİŞKİN SÜRE UZATILMIŞTIR</w:t>
      </w:r>
    </w:p>
    <w:p w14:paraId="797A47A5" w14:textId="77777777" w:rsidR="001D08D9" w:rsidRPr="000B7FD4" w:rsidRDefault="001D08D9" w:rsidP="001D08D9">
      <w:pPr>
        <w:jc w:val="both"/>
      </w:pPr>
      <w:r w:rsidRPr="000B7FD4">
        <w:t xml:space="preserve">22.06.2026 tarihli ve YMM/2026-2 sayılı Serbest Muhasebeci Mali Müşavirlik ve Yeminli Mali Müşavirlik Kanunu Sirküleri/3 ile 30/6/2026 tarihine kadar dijital vergi dairesi üzerinden elektronik ortamda vergi dairelerine gönderilmesi gereken 2025 yılı hesap dönemine ait kurumlar vergisi beyannamesi tasdik raporları ile 2025 yılı hesap dönemine ait kurumlar vergisi istisna, indirim ve uygulama tasdik raporlarının verilme süresi 31/7/2026 tarihine kadar uzatılmıştır. </w:t>
      </w:r>
    </w:p>
    <w:p w14:paraId="07B1EC06" w14:textId="33062039" w:rsidR="001D08D9" w:rsidRPr="000B7FD4" w:rsidRDefault="001D08D9" w:rsidP="001D08D9">
      <w:pPr>
        <w:jc w:val="both"/>
      </w:pPr>
      <w:r w:rsidRPr="000B7FD4">
        <w:t>Söz konusu Sirkülere Gelir İdaresi Başkanlığı’nın web sayfasından ulaşılabilir.</w:t>
      </w:r>
    </w:p>
    <w:p w14:paraId="3F3628FF" w14:textId="1F38C3A5" w:rsidR="00D23DAA" w:rsidRDefault="001D08D9" w:rsidP="00F83FCE">
      <w:pPr>
        <w:jc w:val="both"/>
      </w:pPr>
      <w:hyperlink r:id="rId7" w:history="1">
        <w:r w:rsidRPr="000B7FD4">
          <w:rPr>
            <w:rStyle w:val="Kpr"/>
          </w:rPr>
          <w:t>https://www.gib.gov.tr/mevzuat/kanun/444/sirkuler/1146</w:t>
        </w:r>
      </w:hyperlink>
    </w:p>
    <w:p w14:paraId="72765FFC" w14:textId="77777777" w:rsidR="000B7FD4" w:rsidRDefault="000B7FD4" w:rsidP="00F83FCE">
      <w:pPr>
        <w:jc w:val="both"/>
      </w:pPr>
    </w:p>
    <w:sectPr w:rsidR="000B7F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0561" w14:textId="77777777" w:rsidR="00085402" w:rsidRDefault="00085402" w:rsidP="000A5811">
      <w:pPr>
        <w:spacing w:after="0" w:line="240" w:lineRule="auto"/>
      </w:pPr>
      <w:r>
        <w:separator/>
      </w:r>
    </w:p>
  </w:endnote>
  <w:endnote w:type="continuationSeparator" w:id="0">
    <w:p w14:paraId="3B0ED83A" w14:textId="77777777" w:rsidR="00085402" w:rsidRDefault="00085402"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2753"/>
      <w:docPartObj>
        <w:docPartGallery w:val="Page Numbers (Bottom of Page)"/>
        <w:docPartUnique/>
      </w:docPartObj>
    </w:sdtPr>
    <w:sdtEndPr/>
    <w:sdtContent>
      <w:p w14:paraId="2853EA05" w14:textId="4D5F8F50" w:rsidR="003051CE" w:rsidRDefault="003051CE">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2859" w14:textId="77777777" w:rsidR="00085402" w:rsidRDefault="00085402" w:rsidP="000A5811">
      <w:pPr>
        <w:spacing w:after="0" w:line="240" w:lineRule="auto"/>
      </w:pPr>
      <w:r>
        <w:separator/>
      </w:r>
    </w:p>
  </w:footnote>
  <w:footnote w:type="continuationSeparator" w:id="0">
    <w:p w14:paraId="33CF3418" w14:textId="77777777" w:rsidR="00085402" w:rsidRDefault="00085402"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62F75455" w14:textId="35B82B5E" w:rsidR="00E40347" w:rsidRDefault="00E40347">
    <w:pPr>
      <w:pStyle w:val="stBilgi"/>
    </w:pPr>
    <w:r w:rsidRPr="00F22779">
      <w:rPr>
        <w:b/>
        <w:bCs/>
      </w:rPr>
      <w:object w:dxaOrig="9042" w:dyaOrig="1927" w14:anchorId="22627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374528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CFE"/>
    <w:multiLevelType w:val="multilevel"/>
    <w:tmpl w:val="A8F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770F"/>
    <w:multiLevelType w:val="multilevel"/>
    <w:tmpl w:val="B25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11645">
    <w:abstractNumId w:val="0"/>
  </w:num>
  <w:num w:numId="2" w16cid:durableId="48169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583"/>
    <w:rsid w:val="000157F2"/>
    <w:rsid w:val="00076F8F"/>
    <w:rsid w:val="00085402"/>
    <w:rsid w:val="0009130F"/>
    <w:rsid w:val="00092220"/>
    <w:rsid w:val="000A2E6E"/>
    <w:rsid w:val="000A5811"/>
    <w:rsid w:val="000B2F51"/>
    <w:rsid w:val="000B7FD4"/>
    <w:rsid w:val="000D6DF0"/>
    <w:rsid w:val="000F19C0"/>
    <w:rsid w:val="00102D6D"/>
    <w:rsid w:val="00125C8B"/>
    <w:rsid w:val="00157C79"/>
    <w:rsid w:val="00163A88"/>
    <w:rsid w:val="00176B82"/>
    <w:rsid w:val="00176EAD"/>
    <w:rsid w:val="001C2F84"/>
    <w:rsid w:val="001D08D9"/>
    <w:rsid w:val="001D7566"/>
    <w:rsid w:val="002010B6"/>
    <w:rsid w:val="00265A6C"/>
    <w:rsid w:val="002758CF"/>
    <w:rsid w:val="00291E09"/>
    <w:rsid w:val="002D2703"/>
    <w:rsid w:val="002D4AD7"/>
    <w:rsid w:val="002F74B6"/>
    <w:rsid w:val="003051CE"/>
    <w:rsid w:val="00313E4E"/>
    <w:rsid w:val="003419B1"/>
    <w:rsid w:val="00360EDA"/>
    <w:rsid w:val="00370686"/>
    <w:rsid w:val="00414138"/>
    <w:rsid w:val="0043241E"/>
    <w:rsid w:val="00447603"/>
    <w:rsid w:val="004665DE"/>
    <w:rsid w:val="00491040"/>
    <w:rsid w:val="00496196"/>
    <w:rsid w:val="004C7C1E"/>
    <w:rsid w:val="0050573C"/>
    <w:rsid w:val="005067B8"/>
    <w:rsid w:val="00520158"/>
    <w:rsid w:val="00536B19"/>
    <w:rsid w:val="00537DD9"/>
    <w:rsid w:val="00557814"/>
    <w:rsid w:val="005857DE"/>
    <w:rsid w:val="005A20D2"/>
    <w:rsid w:val="005D5509"/>
    <w:rsid w:val="005D668F"/>
    <w:rsid w:val="005F0855"/>
    <w:rsid w:val="006018AD"/>
    <w:rsid w:val="0060563F"/>
    <w:rsid w:val="00616E52"/>
    <w:rsid w:val="0062347B"/>
    <w:rsid w:val="00683C9C"/>
    <w:rsid w:val="006B6595"/>
    <w:rsid w:val="006C4F4C"/>
    <w:rsid w:val="00707660"/>
    <w:rsid w:val="00715B68"/>
    <w:rsid w:val="00741F8F"/>
    <w:rsid w:val="00742FB8"/>
    <w:rsid w:val="00781A02"/>
    <w:rsid w:val="00784B68"/>
    <w:rsid w:val="00794D3A"/>
    <w:rsid w:val="00796C3E"/>
    <w:rsid w:val="007A1C73"/>
    <w:rsid w:val="007C25CA"/>
    <w:rsid w:val="00857B7A"/>
    <w:rsid w:val="008727B7"/>
    <w:rsid w:val="008731D1"/>
    <w:rsid w:val="008B0FDF"/>
    <w:rsid w:val="008D6D8B"/>
    <w:rsid w:val="008F45ED"/>
    <w:rsid w:val="00902E06"/>
    <w:rsid w:val="00923A51"/>
    <w:rsid w:val="009A0BD6"/>
    <w:rsid w:val="009A1B25"/>
    <w:rsid w:val="009A5CA4"/>
    <w:rsid w:val="009B6807"/>
    <w:rsid w:val="009E7373"/>
    <w:rsid w:val="00A01DBB"/>
    <w:rsid w:val="00A212F0"/>
    <w:rsid w:val="00A54F15"/>
    <w:rsid w:val="00AA16B3"/>
    <w:rsid w:val="00AA3CDD"/>
    <w:rsid w:val="00AA40F3"/>
    <w:rsid w:val="00B07A09"/>
    <w:rsid w:val="00B11D56"/>
    <w:rsid w:val="00B3700F"/>
    <w:rsid w:val="00B40FBF"/>
    <w:rsid w:val="00B53A24"/>
    <w:rsid w:val="00B62534"/>
    <w:rsid w:val="00B82B71"/>
    <w:rsid w:val="00B84BAD"/>
    <w:rsid w:val="00BB2AA4"/>
    <w:rsid w:val="00BC6D32"/>
    <w:rsid w:val="00BE6DEE"/>
    <w:rsid w:val="00BF1B4A"/>
    <w:rsid w:val="00C23507"/>
    <w:rsid w:val="00C3041F"/>
    <w:rsid w:val="00C37CF9"/>
    <w:rsid w:val="00C402D1"/>
    <w:rsid w:val="00C515A0"/>
    <w:rsid w:val="00C93063"/>
    <w:rsid w:val="00CD3963"/>
    <w:rsid w:val="00CF2F3D"/>
    <w:rsid w:val="00D2291C"/>
    <w:rsid w:val="00D23DAA"/>
    <w:rsid w:val="00D529E3"/>
    <w:rsid w:val="00D57455"/>
    <w:rsid w:val="00D77903"/>
    <w:rsid w:val="00DA067C"/>
    <w:rsid w:val="00DE3DD2"/>
    <w:rsid w:val="00DE6536"/>
    <w:rsid w:val="00DF067A"/>
    <w:rsid w:val="00DF3189"/>
    <w:rsid w:val="00E02795"/>
    <w:rsid w:val="00E06615"/>
    <w:rsid w:val="00E2753A"/>
    <w:rsid w:val="00E40347"/>
    <w:rsid w:val="00E84C66"/>
    <w:rsid w:val="00E951F1"/>
    <w:rsid w:val="00F31273"/>
    <w:rsid w:val="00F448F1"/>
    <w:rsid w:val="00F54DBF"/>
    <w:rsid w:val="00F83CFA"/>
    <w:rsid w:val="00F83FCE"/>
    <w:rsid w:val="00F93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ib.gov.tr/mevzuat/kanun/444/sirkuler/1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72</cp:revision>
  <dcterms:created xsi:type="dcterms:W3CDTF">2026-05-19T08:30:00Z</dcterms:created>
  <dcterms:modified xsi:type="dcterms:W3CDTF">2026-06-23T15:42:00Z</dcterms:modified>
</cp:coreProperties>
</file>