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A795" w14:textId="4640BC0E" w:rsidR="00F44BE8" w:rsidRDefault="009C2E6E" w:rsidP="00F44BE8">
      <w:pPr>
        <w:spacing w:after="0" w:line="240" w:lineRule="auto"/>
        <w:jc w:val="center"/>
        <w:rPr>
          <w:b/>
          <w:bCs/>
          <w:sz w:val="32"/>
          <w:szCs w:val="32"/>
        </w:rPr>
      </w:pPr>
      <w:r>
        <w:rPr>
          <w:b/>
          <w:bCs/>
          <w:sz w:val="32"/>
          <w:szCs w:val="32"/>
        </w:rPr>
        <w:t>VERGİ MEVZUATINDAKİ GELİŞMELER</w:t>
      </w:r>
      <w:r w:rsidR="00F44BE8" w:rsidRPr="00FC7ED4">
        <w:rPr>
          <w:b/>
          <w:bCs/>
          <w:sz w:val="32"/>
          <w:szCs w:val="32"/>
        </w:rPr>
        <w:t xml:space="preserve"> 202</w:t>
      </w:r>
      <w:r w:rsidR="00AE5B03">
        <w:rPr>
          <w:b/>
          <w:bCs/>
          <w:sz w:val="32"/>
          <w:szCs w:val="32"/>
        </w:rPr>
        <w:t>6</w:t>
      </w:r>
      <w:r w:rsidR="00F44BE8" w:rsidRPr="00FC7ED4">
        <w:rPr>
          <w:b/>
          <w:bCs/>
          <w:sz w:val="32"/>
          <w:szCs w:val="32"/>
        </w:rPr>
        <w:t>/</w:t>
      </w:r>
      <w:r>
        <w:rPr>
          <w:b/>
          <w:bCs/>
          <w:sz w:val="32"/>
          <w:szCs w:val="32"/>
        </w:rPr>
        <w:t>OCAK-</w:t>
      </w:r>
      <w:r w:rsidR="00AE5B03">
        <w:rPr>
          <w:b/>
          <w:bCs/>
          <w:sz w:val="32"/>
          <w:szCs w:val="32"/>
        </w:rPr>
        <w:t>1</w:t>
      </w:r>
    </w:p>
    <w:p w14:paraId="2235D047" w14:textId="6C44C0E3" w:rsidR="00F44BE8" w:rsidRDefault="00F44BE8" w:rsidP="00F44BE8">
      <w:pPr>
        <w:spacing w:after="0" w:line="240" w:lineRule="auto"/>
        <w:jc w:val="center"/>
        <w:rPr>
          <w:b/>
          <w:bCs/>
          <w:sz w:val="18"/>
          <w:szCs w:val="18"/>
        </w:rPr>
      </w:pPr>
      <w:r w:rsidRPr="00B54EDB">
        <w:rPr>
          <w:b/>
          <w:bCs/>
          <w:sz w:val="18"/>
          <w:szCs w:val="18"/>
        </w:rPr>
        <w:t>(</w:t>
      </w:r>
      <w:r w:rsidR="00AE5B03">
        <w:rPr>
          <w:b/>
          <w:bCs/>
          <w:sz w:val="18"/>
          <w:szCs w:val="18"/>
        </w:rPr>
        <w:t>07.01.2026-</w:t>
      </w:r>
      <w:r w:rsidR="00F128E2">
        <w:rPr>
          <w:b/>
          <w:bCs/>
          <w:sz w:val="18"/>
          <w:szCs w:val="18"/>
        </w:rPr>
        <w:t>13.01.2026</w:t>
      </w:r>
      <w:r w:rsidRPr="00B54EDB">
        <w:rPr>
          <w:b/>
          <w:bCs/>
          <w:sz w:val="18"/>
          <w:szCs w:val="18"/>
        </w:rPr>
        <w:t>)</w:t>
      </w:r>
    </w:p>
    <w:p w14:paraId="6A5FB738" w14:textId="77777777" w:rsidR="00C23507" w:rsidRDefault="00C23507"/>
    <w:p w14:paraId="129EC0D2" w14:textId="44758F6B" w:rsidR="00AD2A55" w:rsidRDefault="00691FAA" w:rsidP="00AE5B03">
      <w:pPr>
        <w:jc w:val="both"/>
        <w:rPr>
          <w:b/>
          <w:bCs/>
          <w:sz w:val="26"/>
          <w:szCs w:val="26"/>
        </w:rPr>
      </w:pPr>
      <w:r w:rsidRPr="00691FAA">
        <w:rPr>
          <w:b/>
          <w:bCs/>
          <w:sz w:val="26"/>
          <w:szCs w:val="26"/>
        </w:rPr>
        <w:t xml:space="preserve">I- </w:t>
      </w:r>
      <w:r w:rsidR="00AE5B03">
        <w:rPr>
          <w:b/>
          <w:bCs/>
          <w:sz w:val="26"/>
          <w:szCs w:val="26"/>
        </w:rPr>
        <w:t xml:space="preserve">POSTA VE HIZLI KARGO TAŞIMACILIĞI YOLUYLA YURT DIŞINDAN YAPILAN ALIŞVERİŞLERDE İSTİSNA TUTARI </w:t>
      </w:r>
      <w:r w:rsidR="008613D5">
        <w:rPr>
          <w:b/>
          <w:bCs/>
          <w:sz w:val="26"/>
          <w:szCs w:val="26"/>
        </w:rPr>
        <w:t xml:space="preserve">VE MAKTU VERGİLEME OLANAĞI </w:t>
      </w:r>
      <w:r w:rsidR="00AE5B03">
        <w:rPr>
          <w:b/>
          <w:bCs/>
          <w:sz w:val="26"/>
          <w:szCs w:val="26"/>
        </w:rPr>
        <w:t>KALDIRILMIŞ</w:t>
      </w:r>
      <w:r w:rsidR="008613D5">
        <w:rPr>
          <w:b/>
          <w:bCs/>
          <w:sz w:val="26"/>
          <w:szCs w:val="26"/>
        </w:rPr>
        <w:t>TIR</w:t>
      </w:r>
    </w:p>
    <w:p w14:paraId="7749A453" w14:textId="2F6ACE83" w:rsidR="008613D5" w:rsidRDefault="008613D5" w:rsidP="00AE5B03">
      <w:pPr>
        <w:jc w:val="both"/>
      </w:pPr>
      <w:r w:rsidRPr="008613D5">
        <w:t xml:space="preserve">07 Ocak 2026 tarihli ve </w:t>
      </w:r>
      <w:r>
        <w:t xml:space="preserve">33130 sayılı </w:t>
      </w:r>
      <w:proofErr w:type="gramStart"/>
      <w:r>
        <w:t>Resmi</w:t>
      </w:r>
      <w:proofErr w:type="gramEnd"/>
      <w:r>
        <w:t xml:space="preserve"> Gazete’de </w:t>
      </w:r>
      <w:r w:rsidR="00583270">
        <w:t>4</w:t>
      </w:r>
      <w:r w:rsidR="00583270" w:rsidRPr="00583270">
        <w:t>458 Sayılı Gümrük Kanunu</w:t>
      </w:r>
      <w:r w:rsidR="00583270">
        <w:t>’</w:t>
      </w:r>
      <w:r w:rsidR="00583270" w:rsidRPr="00583270">
        <w:t>nun Bazı Maddelerinin Uygulanması Hakkında Kararda Değişiklik</w:t>
      </w:r>
      <w:r w:rsidR="00583270">
        <w:t xml:space="preserve"> Yapılması Hakkında 10813 sayılı Cumhurbaşkanı Kararı yayımlanmıştır.</w:t>
      </w:r>
      <w:r w:rsidR="00583270" w:rsidRPr="00583270">
        <w:t> </w:t>
      </w:r>
      <w:r w:rsidR="00BC27A0">
        <w:t>Karar yayımından 30 gün sonra yürürlüğe girecektir.</w:t>
      </w:r>
    </w:p>
    <w:p w14:paraId="51170265" w14:textId="05A49C85" w:rsidR="00583270" w:rsidRDefault="00583270" w:rsidP="00AE5B03">
      <w:pPr>
        <w:jc w:val="both"/>
      </w:pPr>
      <w:r>
        <w:t>Söz konusu Karar ile 0</w:t>
      </w:r>
      <w:r w:rsidRPr="00583270">
        <w:t>9/</w:t>
      </w:r>
      <w:r>
        <w:t>0</w:t>
      </w:r>
      <w:r w:rsidRPr="00583270">
        <w:t>9/2009 tarihli ve 2009/15481 sayılı Bakanlar Kurulu Kararı ile yürürlüğe konulan </w:t>
      </w:r>
      <w:hyperlink r:id="rId6" w:history="1">
        <w:r w:rsidRPr="00583270">
          <w:rPr>
            <w:rStyle w:val="Kpr"/>
            <w:color w:val="auto"/>
            <w:u w:val="none"/>
          </w:rPr>
          <w:t>4458 Sayılı Gümrük Kanunu</w:t>
        </w:r>
        <w:r>
          <w:rPr>
            <w:rStyle w:val="Kpr"/>
            <w:color w:val="auto"/>
            <w:u w:val="none"/>
          </w:rPr>
          <w:t>’</w:t>
        </w:r>
        <w:r w:rsidRPr="00583270">
          <w:rPr>
            <w:rStyle w:val="Kpr"/>
            <w:color w:val="auto"/>
            <w:u w:val="none"/>
          </w:rPr>
          <w:t>nun Bazı Maddelerinin Uygulanması Hakkında Kararın</w:t>
        </w:r>
      </w:hyperlink>
      <w:r w:rsidRPr="00583270">
        <w:t> 62</w:t>
      </w:r>
      <w:r>
        <w:t>’</w:t>
      </w:r>
      <w:r w:rsidRPr="00583270">
        <w:t xml:space="preserve">nci </w:t>
      </w:r>
      <w:r>
        <w:t>ve 126’ncı maddelerinde değişiklik yapılmıştır.</w:t>
      </w:r>
    </w:p>
    <w:p w14:paraId="028BB072" w14:textId="1EB1F49E" w:rsidR="00583270" w:rsidRPr="00583270" w:rsidRDefault="00583270" w:rsidP="00EB0CFF">
      <w:pPr>
        <w:shd w:val="clear" w:color="auto" w:fill="FFFFFF" w:themeFill="background1"/>
        <w:jc w:val="both"/>
        <w:rPr>
          <w:rFonts w:cstheme="minorHAnsi"/>
        </w:rPr>
      </w:pPr>
      <w:r>
        <w:rPr>
          <w:rFonts w:cstheme="minorHAnsi"/>
        </w:rPr>
        <w:t>Kararın 1. maddesi gereğince, “</w:t>
      </w:r>
      <w:hyperlink r:id="rId7" w:history="1">
        <w:r w:rsidRPr="00583270">
          <w:rPr>
            <w:rStyle w:val="Kpr"/>
            <w:rFonts w:cstheme="minorHAnsi"/>
            <w:color w:val="auto"/>
            <w:u w:val="none"/>
          </w:rPr>
          <w:t>4458 Sayılı Gümrük Kanunu</w:t>
        </w:r>
        <w:r>
          <w:rPr>
            <w:rStyle w:val="Kpr"/>
            <w:rFonts w:cstheme="minorHAnsi"/>
            <w:color w:val="auto"/>
            <w:u w:val="none"/>
          </w:rPr>
          <w:t>’</w:t>
        </w:r>
        <w:r w:rsidRPr="00583270">
          <w:rPr>
            <w:rStyle w:val="Kpr"/>
            <w:rFonts w:cstheme="minorHAnsi"/>
            <w:color w:val="auto"/>
            <w:u w:val="none"/>
          </w:rPr>
          <w:t>nun Bazı Maddelerinin Uygulanması Hakkında Kararın</w:t>
        </w:r>
      </w:hyperlink>
      <w:r w:rsidRPr="00583270">
        <w:rPr>
          <w:rFonts w:cstheme="minorHAnsi"/>
        </w:rPr>
        <w:t> 62</w:t>
      </w:r>
      <w:r>
        <w:rPr>
          <w:rFonts w:cstheme="minorHAnsi"/>
        </w:rPr>
        <w:t>’</w:t>
      </w:r>
      <w:r w:rsidRPr="00583270">
        <w:rPr>
          <w:rFonts w:cstheme="minorHAnsi"/>
        </w:rPr>
        <w:t>nci maddesinin birinci fıkrası aşağıdaki şekilde değiştirilmiştir.</w:t>
      </w:r>
    </w:p>
    <w:p w14:paraId="43FCB568" w14:textId="77777777" w:rsidR="00583270" w:rsidRPr="00583270" w:rsidRDefault="00583270" w:rsidP="00EB0CFF">
      <w:pPr>
        <w:shd w:val="clear" w:color="auto" w:fill="F2F2F2" w:themeFill="background1" w:themeFillShade="F2"/>
        <w:jc w:val="both"/>
        <w:rPr>
          <w:rFonts w:cstheme="minorHAnsi"/>
          <w:i/>
          <w:iCs/>
          <w:sz w:val="20"/>
          <w:szCs w:val="20"/>
        </w:rPr>
      </w:pPr>
      <w:r w:rsidRPr="00583270">
        <w:rPr>
          <w:rFonts w:cstheme="minorHAnsi"/>
          <w:i/>
          <w:iCs/>
          <w:sz w:val="20"/>
          <w:szCs w:val="20"/>
        </w:rPr>
        <w:t>“(1) Posta veya hızlı kargo taşımacılığı yoluyla bir sağlık kuruluşu raporu veya doktor reçetesine istinaden bir gerçek kişiye gelen ve ticari miktar ve mahiyet arz etmeyen, kıymeti 1500 Avro’yu geçmeyen ilaç cinsi eşya ile takviye edici gıdaların değeri üzerinden;</w:t>
      </w:r>
    </w:p>
    <w:p w14:paraId="50C82A84" w14:textId="2C0207DF" w:rsidR="00583270" w:rsidRPr="00583270" w:rsidRDefault="00583270" w:rsidP="00EB0CFF">
      <w:pPr>
        <w:shd w:val="clear" w:color="auto" w:fill="F2F2F2" w:themeFill="background1" w:themeFillShade="F2"/>
        <w:jc w:val="both"/>
        <w:rPr>
          <w:rFonts w:cstheme="minorHAnsi"/>
          <w:i/>
          <w:iCs/>
          <w:sz w:val="20"/>
          <w:szCs w:val="20"/>
        </w:rPr>
      </w:pPr>
      <w:r w:rsidRPr="00583270">
        <w:rPr>
          <w:rFonts w:cstheme="minorHAnsi"/>
          <w:i/>
          <w:iCs/>
          <w:sz w:val="20"/>
          <w:szCs w:val="20"/>
        </w:rPr>
        <w:t>a) Avrupa Birliği ülkelerinden doğrudan gelmesi halinde %30,</w:t>
      </w:r>
    </w:p>
    <w:p w14:paraId="2A13E6F1" w14:textId="64F4D1DF" w:rsidR="00583270" w:rsidRPr="00583270" w:rsidRDefault="00583270" w:rsidP="00EB0CFF">
      <w:pPr>
        <w:shd w:val="clear" w:color="auto" w:fill="F2F2F2" w:themeFill="background1" w:themeFillShade="F2"/>
        <w:jc w:val="both"/>
        <w:rPr>
          <w:rFonts w:cstheme="minorHAnsi"/>
          <w:i/>
          <w:iCs/>
          <w:sz w:val="20"/>
          <w:szCs w:val="20"/>
        </w:rPr>
      </w:pPr>
      <w:r w:rsidRPr="00583270">
        <w:rPr>
          <w:rFonts w:cstheme="minorHAnsi"/>
          <w:i/>
          <w:iCs/>
          <w:sz w:val="20"/>
          <w:szCs w:val="20"/>
        </w:rPr>
        <w:t>b) Diğer ülkelerden gelmesi halinde %60,</w:t>
      </w:r>
    </w:p>
    <w:p w14:paraId="588F6EFC" w14:textId="1F244C61" w:rsidR="00583270" w:rsidRPr="00583270" w:rsidRDefault="00583270" w:rsidP="00EB0CFF">
      <w:pPr>
        <w:shd w:val="clear" w:color="auto" w:fill="F2F2F2" w:themeFill="background1" w:themeFillShade="F2"/>
        <w:jc w:val="both"/>
        <w:rPr>
          <w:rFonts w:cstheme="minorHAnsi"/>
          <w:i/>
          <w:iCs/>
          <w:sz w:val="20"/>
          <w:szCs w:val="20"/>
        </w:rPr>
      </w:pPr>
      <w:r w:rsidRPr="00583270">
        <w:rPr>
          <w:rFonts w:cstheme="minorHAnsi"/>
          <w:i/>
          <w:iCs/>
          <w:sz w:val="20"/>
          <w:szCs w:val="20"/>
        </w:rPr>
        <w:t>c) 6/6/2002 tarihli ve </w:t>
      </w:r>
      <w:hyperlink r:id="rId8" w:history="1">
        <w:r w:rsidRPr="00583270">
          <w:rPr>
            <w:rStyle w:val="Kpr"/>
            <w:rFonts w:cstheme="minorHAnsi"/>
            <w:i/>
            <w:iCs/>
            <w:color w:val="auto"/>
            <w:sz w:val="20"/>
            <w:szCs w:val="20"/>
            <w:u w:val="none"/>
          </w:rPr>
          <w:t>4760 sayılı Özel Tüketim Vergisi Kanununa</w:t>
        </w:r>
      </w:hyperlink>
      <w:r w:rsidRPr="00583270">
        <w:rPr>
          <w:rFonts w:cstheme="minorHAnsi"/>
          <w:i/>
          <w:iCs/>
          <w:sz w:val="20"/>
          <w:szCs w:val="20"/>
        </w:rPr>
        <w:t> ekli (IV) sayılı listede yer alan eşya olması durumunda yukarıdaki oranlara ilave %20,</w:t>
      </w:r>
    </w:p>
    <w:p w14:paraId="11A1A5AC" w14:textId="77777777" w:rsidR="00583270" w:rsidRPr="00583270" w:rsidRDefault="00583270" w:rsidP="00EB0CFF">
      <w:pPr>
        <w:shd w:val="clear" w:color="auto" w:fill="F2F2F2" w:themeFill="background1" w:themeFillShade="F2"/>
        <w:jc w:val="both"/>
        <w:rPr>
          <w:rFonts w:cstheme="minorHAnsi"/>
          <w:i/>
          <w:iCs/>
          <w:sz w:val="20"/>
          <w:szCs w:val="20"/>
        </w:rPr>
      </w:pPr>
      <w:proofErr w:type="gramStart"/>
      <w:r w:rsidRPr="00583270">
        <w:rPr>
          <w:rFonts w:cstheme="minorHAnsi"/>
          <w:i/>
          <w:iCs/>
          <w:sz w:val="20"/>
          <w:szCs w:val="20"/>
        </w:rPr>
        <w:t>oranında</w:t>
      </w:r>
      <w:proofErr w:type="gramEnd"/>
      <w:r w:rsidRPr="00583270">
        <w:rPr>
          <w:rFonts w:cstheme="minorHAnsi"/>
          <w:i/>
          <w:iCs/>
          <w:sz w:val="20"/>
          <w:szCs w:val="20"/>
        </w:rPr>
        <w:t xml:space="preserve"> tek ve maktu bir vergi tahsil edilir.”</w:t>
      </w:r>
    </w:p>
    <w:p w14:paraId="3C2C4ABC" w14:textId="27FA2C58" w:rsidR="00EB0CFF" w:rsidRPr="00421AB4" w:rsidRDefault="00DA456F" w:rsidP="00444503">
      <w:pPr>
        <w:shd w:val="clear" w:color="auto" w:fill="FFFFFF" w:themeFill="background1"/>
        <w:jc w:val="both"/>
        <w:rPr>
          <w:rFonts w:cstheme="minorHAnsi"/>
          <w:b/>
          <w:bCs/>
          <w:lang w:val="en-AU"/>
        </w:rPr>
      </w:pPr>
      <w:r w:rsidRPr="00421AB4">
        <w:rPr>
          <w:rFonts w:cstheme="minorHAnsi"/>
          <w:b/>
          <w:bCs/>
          <w:lang w:val="en-AU"/>
        </w:rPr>
        <w:t>Yapılan düzenleme ile p</w:t>
      </w:r>
      <w:r w:rsidRPr="00DA456F">
        <w:rPr>
          <w:rFonts w:cstheme="minorHAnsi"/>
          <w:b/>
          <w:bCs/>
          <w:lang w:val="en-AU"/>
        </w:rPr>
        <w:t>osta veya hızlı kargo taşımacılığı yoluyla bir gerçek kişiye gelen ve ticari miktar ve mahiyet arz etmeyen, kıymeti 30 Avro'yu geçmeyen eşya</w:t>
      </w:r>
      <w:r w:rsidRPr="00421AB4">
        <w:rPr>
          <w:rFonts w:cstheme="minorHAnsi"/>
          <w:b/>
          <w:bCs/>
          <w:lang w:val="en-AU"/>
        </w:rPr>
        <w:t xml:space="preserve"> ibaresi metinden çıkarılmıştır. </w:t>
      </w:r>
      <w:r w:rsidR="00421AB4" w:rsidRPr="00421AB4">
        <w:rPr>
          <w:rFonts w:cstheme="minorHAnsi"/>
          <w:b/>
          <w:bCs/>
          <w:lang w:val="en-AU"/>
        </w:rPr>
        <w:t>Böylece 30 Euro’luk istisna tutarı ile ticari değeri 30 Euro’dan fazla 1500 Euro’dan az olan ürünlerdeki maktu vergi olanağı kaldırılmıştır. Bu olanak herhangi bir taban limiti olmaksızın sadece sağlık kuruluşu raporu veya doktor reçetesine istinaden bir gerçek kişiye gelen ve ticari mahiyet arz etmeyen, tutarı 1500 Euro’nun altındaki ilaçlar için korunmuştur.</w:t>
      </w:r>
    </w:p>
    <w:p w14:paraId="35AFA39F" w14:textId="206775B4" w:rsidR="00421AB4" w:rsidRDefault="00421AB4" w:rsidP="00444503">
      <w:pPr>
        <w:shd w:val="clear" w:color="auto" w:fill="FFFFFF" w:themeFill="background1"/>
        <w:jc w:val="both"/>
        <w:rPr>
          <w:rFonts w:cstheme="minorHAnsi"/>
        </w:rPr>
      </w:pPr>
      <w:r>
        <w:rPr>
          <w:rFonts w:cstheme="minorHAnsi"/>
        </w:rPr>
        <w:t>Kararın 2. maddesi ile “</w:t>
      </w:r>
      <w:r w:rsidRPr="00421AB4">
        <w:rPr>
          <w:rFonts w:cstheme="minorHAnsi"/>
        </w:rPr>
        <w:t>Aynı Kararın 126</w:t>
      </w:r>
      <w:r>
        <w:rPr>
          <w:rFonts w:cstheme="minorHAnsi"/>
        </w:rPr>
        <w:t>’</w:t>
      </w:r>
      <w:r w:rsidRPr="00421AB4">
        <w:rPr>
          <w:rFonts w:cstheme="minorHAnsi"/>
        </w:rPr>
        <w:t>nci maddesinin birinci fıkrasının (b) bendinde yer alan “30 Avro’yu aşan ancak” ibaresi yürürlükten kaldırılmıştır.</w:t>
      </w:r>
      <w:r>
        <w:rPr>
          <w:rFonts w:cstheme="minorHAnsi"/>
        </w:rPr>
        <w:t>”</w:t>
      </w:r>
    </w:p>
    <w:p w14:paraId="24812A20" w14:textId="70D4497E" w:rsidR="00421AB4" w:rsidRDefault="00421AB4" w:rsidP="00444503">
      <w:pPr>
        <w:shd w:val="clear" w:color="auto" w:fill="FFFFFF" w:themeFill="background1"/>
        <w:jc w:val="both"/>
        <w:rPr>
          <w:rFonts w:cstheme="minorHAnsi"/>
        </w:rPr>
      </w:pPr>
      <w:r>
        <w:rPr>
          <w:rFonts w:cstheme="minorHAnsi"/>
        </w:rPr>
        <w:t>Söz konusu 126. maddenin 1. fıkraının (b) bendinin son hali aşağıdaki gibidir:</w:t>
      </w:r>
    </w:p>
    <w:p w14:paraId="7B3F7DDC" w14:textId="28645502" w:rsidR="00421AB4" w:rsidRPr="00421AB4" w:rsidRDefault="00421AB4" w:rsidP="00421AB4">
      <w:pPr>
        <w:shd w:val="clear" w:color="auto" w:fill="F2F2F2" w:themeFill="background1" w:themeFillShade="F2"/>
        <w:jc w:val="both"/>
        <w:rPr>
          <w:rFonts w:cstheme="minorHAnsi"/>
          <w:i/>
          <w:iCs/>
          <w:sz w:val="20"/>
          <w:szCs w:val="20"/>
        </w:rPr>
      </w:pPr>
      <w:r w:rsidRPr="00421AB4">
        <w:rPr>
          <w:rFonts w:cstheme="minorHAnsi"/>
          <w:i/>
          <w:iCs/>
          <w:sz w:val="20"/>
          <w:szCs w:val="20"/>
        </w:rPr>
        <w:t>“(1) Kanunun 225 inci maddesi uyarınca, posta yolu ve hızlı kargo taşımacılığı kapsamında gelen ya da gönderilen;</w:t>
      </w:r>
    </w:p>
    <w:p w14:paraId="128BCB99" w14:textId="1E8036E1" w:rsidR="00421AB4" w:rsidRPr="00421AB4" w:rsidRDefault="00421AB4" w:rsidP="00421AB4">
      <w:pPr>
        <w:shd w:val="clear" w:color="auto" w:fill="F2F2F2" w:themeFill="background1" w:themeFillShade="F2"/>
        <w:jc w:val="both"/>
        <w:rPr>
          <w:rFonts w:cstheme="minorHAnsi"/>
          <w:i/>
          <w:iCs/>
          <w:sz w:val="20"/>
          <w:szCs w:val="20"/>
        </w:rPr>
      </w:pPr>
      <w:r w:rsidRPr="00421AB4">
        <w:rPr>
          <w:rFonts w:cstheme="minorHAnsi"/>
          <w:i/>
          <w:iCs/>
          <w:sz w:val="20"/>
          <w:szCs w:val="20"/>
        </w:rPr>
        <w:t>…</w:t>
      </w:r>
    </w:p>
    <w:p w14:paraId="146FBE4C" w14:textId="0EF0F53E" w:rsidR="00421AB4" w:rsidRPr="00421AB4" w:rsidRDefault="00421AB4" w:rsidP="00421AB4">
      <w:pPr>
        <w:shd w:val="clear" w:color="auto" w:fill="F2F2F2" w:themeFill="background1" w:themeFillShade="F2"/>
        <w:jc w:val="both"/>
        <w:rPr>
          <w:rFonts w:cstheme="minorHAnsi"/>
          <w:b/>
          <w:bCs/>
          <w:i/>
          <w:iCs/>
          <w:sz w:val="20"/>
          <w:szCs w:val="20"/>
        </w:rPr>
      </w:pPr>
      <w:r w:rsidRPr="00421AB4">
        <w:rPr>
          <w:rFonts w:cstheme="minorHAnsi"/>
          <w:i/>
          <w:iCs/>
          <w:sz w:val="20"/>
          <w:szCs w:val="20"/>
        </w:rPr>
        <w:t xml:space="preserve">b) Normal usulde beyan edilecek olan, serbest dolaşıma giriş rejimine konu; </w:t>
      </w:r>
      <w:r w:rsidRPr="00421AB4">
        <w:rPr>
          <w:rFonts w:cstheme="minorHAnsi"/>
          <w:b/>
          <w:bCs/>
          <w:i/>
          <w:iCs/>
          <w:sz w:val="20"/>
          <w:szCs w:val="20"/>
        </w:rPr>
        <w:t>değeri 1500 Avro'yu aşmayan, bir gerçek kişiye gelen ticari miktar ve mahiyet arz etmeyen eşyanın,</w:t>
      </w:r>
    </w:p>
    <w:p w14:paraId="4470483D" w14:textId="4B01AD72" w:rsidR="00421AB4" w:rsidRPr="00421AB4" w:rsidRDefault="00421AB4" w:rsidP="00421AB4">
      <w:pPr>
        <w:shd w:val="clear" w:color="auto" w:fill="F2F2F2" w:themeFill="background1" w:themeFillShade="F2"/>
        <w:jc w:val="both"/>
        <w:rPr>
          <w:rFonts w:cstheme="minorHAnsi"/>
          <w:b/>
          <w:bCs/>
          <w:i/>
          <w:iCs/>
          <w:sz w:val="20"/>
          <w:szCs w:val="20"/>
        </w:rPr>
      </w:pPr>
      <w:r w:rsidRPr="00421AB4">
        <w:rPr>
          <w:rFonts w:cstheme="minorHAnsi"/>
          <w:b/>
          <w:bCs/>
          <w:i/>
          <w:iCs/>
          <w:sz w:val="20"/>
          <w:szCs w:val="20"/>
        </w:rPr>
        <w:t>…</w:t>
      </w:r>
    </w:p>
    <w:p w14:paraId="5C419A00" w14:textId="4F96EB11" w:rsidR="00421AB4" w:rsidRDefault="00421AB4" w:rsidP="00421AB4">
      <w:pPr>
        <w:shd w:val="clear" w:color="auto" w:fill="F2F2F2" w:themeFill="background1" w:themeFillShade="F2"/>
        <w:jc w:val="both"/>
        <w:rPr>
          <w:rFonts w:cstheme="minorHAnsi"/>
          <w:i/>
          <w:iCs/>
          <w:sz w:val="20"/>
          <w:szCs w:val="20"/>
        </w:rPr>
      </w:pPr>
      <w:proofErr w:type="gramStart"/>
      <w:r w:rsidRPr="00421AB4">
        <w:rPr>
          <w:rFonts w:cstheme="minorHAnsi"/>
          <w:i/>
          <w:iCs/>
          <w:sz w:val="20"/>
          <w:szCs w:val="20"/>
        </w:rPr>
        <w:lastRenderedPageBreak/>
        <w:t>gümrük</w:t>
      </w:r>
      <w:proofErr w:type="gramEnd"/>
      <w:r w:rsidRPr="00421AB4">
        <w:rPr>
          <w:rFonts w:cstheme="minorHAnsi"/>
          <w:i/>
          <w:iCs/>
          <w:sz w:val="20"/>
          <w:szCs w:val="20"/>
        </w:rPr>
        <w:t xml:space="preserve"> beyanı dahil tüm gümrük işlemlerine ilişkin faaliyetlerinin takip edilip sonuçlandırılmasında, posta idaresi ile Bakanlıkça belirlenen koşulları taşıyan hızlı kargo taşımacılığı yapan şirketler dolaylı temsilci olarak yetkili kılınabilir. Bu yetkiyi kullanan hızlı kargo şirketleri gümrük müşaviri çalıştırır. İhracat rejimine konu eşya için miktar veya değer limitlerini ayrı ayrı yirmi katına kadar artırmaya Bakanlık yetkilidir.</w:t>
      </w:r>
      <w:r>
        <w:rPr>
          <w:rFonts w:cstheme="minorHAnsi"/>
          <w:i/>
          <w:iCs/>
          <w:sz w:val="20"/>
          <w:szCs w:val="20"/>
        </w:rPr>
        <w:t>”</w:t>
      </w:r>
    </w:p>
    <w:p w14:paraId="77E66F30" w14:textId="7CCE6E2B" w:rsidR="00421AB4" w:rsidRDefault="00421AB4" w:rsidP="00421AB4">
      <w:pPr>
        <w:shd w:val="clear" w:color="auto" w:fill="FFFFFF" w:themeFill="background1"/>
        <w:jc w:val="both"/>
        <w:rPr>
          <w:rFonts w:cstheme="minorHAnsi"/>
        </w:rPr>
      </w:pPr>
      <w:r>
        <w:rPr>
          <w:rFonts w:cstheme="minorHAnsi"/>
        </w:rPr>
        <w:t>Yapılan değişikliklerden sonra yurt dışından kargo yoluyla getirilen ticari mahiyet taşımayan tüm ürünler standart ithalat rejimine tabi tutulacaktır.</w:t>
      </w:r>
    </w:p>
    <w:p w14:paraId="4B8EF880" w14:textId="77777777" w:rsidR="00421AB4" w:rsidRDefault="00421AB4" w:rsidP="00421AB4">
      <w:pPr>
        <w:shd w:val="clear" w:color="auto" w:fill="FFFFFF" w:themeFill="background1"/>
        <w:jc w:val="both"/>
        <w:rPr>
          <w:rFonts w:cstheme="minorHAnsi"/>
        </w:rPr>
      </w:pPr>
    </w:p>
    <w:p w14:paraId="02B6AC49" w14:textId="0DB5D6CD" w:rsidR="00014E9C" w:rsidRPr="00495F8D" w:rsidRDefault="00014E9C" w:rsidP="00421AB4">
      <w:pPr>
        <w:shd w:val="clear" w:color="auto" w:fill="FFFFFF" w:themeFill="background1"/>
        <w:jc w:val="both"/>
        <w:rPr>
          <w:rFonts w:cstheme="minorHAnsi"/>
          <w:b/>
          <w:bCs/>
          <w:sz w:val="26"/>
          <w:szCs w:val="26"/>
        </w:rPr>
      </w:pPr>
      <w:r w:rsidRPr="00495F8D">
        <w:rPr>
          <w:rFonts w:cstheme="minorHAnsi"/>
          <w:b/>
          <w:bCs/>
          <w:sz w:val="26"/>
          <w:szCs w:val="26"/>
        </w:rPr>
        <w:t xml:space="preserve">II- </w:t>
      </w:r>
      <w:r w:rsidR="00495F8D" w:rsidRPr="00495F8D">
        <w:rPr>
          <w:rFonts w:cstheme="minorHAnsi"/>
          <w:b/>
          <w:bCs/>
          <w:sz w:val="26"/>
          <w:szCs w:val="26"/>
        </w:rPr>
        <w:t>5 SIRA NO’LU MASAK GENEL TEBLİĞİNDE DEĞİŞİKLİKLER YAPILMIŞTIR</w:t>
      </w:r>
    </w:p>
    <w:p w14:paraId="75636C67" w14:textId="2388874C" w:rsidR="00BC27A0" w:rsidRDefault="00BC27A0" w:rsidP="00BC27A0">
      <w:pPr>
        <w:shd w:val="clear" w:color="auto" w:fill="FFFFFF" w:themeFill="background1"/>
        <w:jc w:val="both"/>
        <w:rPr>
          <w:rFonts w:cstheme="minorHAnsi"/>
        </w:rPr>
      </w:pPr>
      <w:r w:rsidRPr="00BC27A0">
        <w:rPr>
          <w:rFonts w:cstheme="minorHAnsi"/>
        </w:rPr>
        <w:t>Mali Suçları Araştırma Kurulu Genel Tebliği (Sıra No: 5)’</w:t>
      </w:r>
      <w:r>
        <w:rPr>
          <w:rFonts w:cstheme="minorHAnsi"/>
        </w:rPr>
        <w:t>n</w:t>
      </w:r>
      <w:r w:rsidRPr="00BC27A0">
        <w:rPr>
          <w:rFonts w:cstheme="minorHAnsi"/>
        </w:rPr>
        <w:t>de</w:t>
      </w:r>
      <w:r>
        <w:rPr>
          <w:rFonts w:cstheme="minorHAnsi"/>
        </w:rPr>
        <w:t xml:space="preserve"> </w:t>
      </w:r>
      <w:r w:rsidRPr="00BC27A0">
        <w:rPr>
          <w:rFonts w:cstheme="minorHAnsi"/>
        </w:rPr>
        <w:t>Değişiklik Yapılmasına Dair</w:t>
      </w:r>
      <w:r>
        <w:rPr>
          <w:rFonts w:cstheme="minorHAnsi"/>
        </w:rPr>
        <w:t xml:space="preserve"> 31 Sıra No’lu</w:t>
      </w:r>
      <w:r w:rsidRPr="00BC27A0">
        <w:rPr>
          <w:rFonts w:cstheme="minorHAnsi"/>
        </w:rPr>
        <w:t xml:space="preserve"> Tebliğ </w:t>
      </w:r>
      <w:r w:rsidRPr="008613D5">
        <w:t xml:space="preserve">07 Ocak 2026 tarihli ve </w:t>
      </w:r>
      <w:r>
        <w:t xml:space="preserve">33130 sayılı </w:t>
      </w:r>
      <w:proofErr w:type="gramStart"/>
      <w:r>
        <w:t>Resmi</w:t>
      </w:r>
      <w:proofErr w:type="gramEnd"/>
      <w:r>
        <w:t xml:space="preserve"> Gazete’de </w:t>
      </w:r>
      <w:r>
        <w:rPr>
          <w:rFonts w:cstheme="minorHAnsi"/>
        </w:rPr>
        <w:t>yayımlanmıştır.</w:t>
      </w:r>
    </w:p>
    <w:p w14:paraId="45177D51" w14:textId="6B7A0951" w:rsidR="00AC084A" w:rsidRDefault="00AC084A" w:rsidP="00BC27A0">
      <w:pPr>
        <w:shd w:val="clear" w:color="auto" w:fill="FFFFFF" w:themeFill="background1"/>
        <w:jc w:val="both"/>
        <w:rPr>
          <w:rFonts w:cstheme="minorHAnsi"/>
        </w:rPr>
      </w:pPr>
      <w:r>
        <w:rPr>
          <w:rFonts w:cstheme="minorHAnsi"/>
        </w:rPr>
        <w:t xml:space="preserve">5 numaralı Tebliğin </w:t>
      </w:r>
      <w:r w:rsidRPr="00AC084A">
        <w:rPr>
          <w:rFonts w:cstheme="minorHAnsi"/>
        </w:rPr>
        <w:t>konusunu Suç Gelirlerinin Aklanmasının ve Terörün Finansmanının Önlenmesine Dair Tedbirler Hakkında Yönetmelik uyarınca yükümlü sayılanlar tarafından müşterinin tanınması ilkesi kapsamında uyulması gereken basitleştirilmiş tedbirler ile diğer açıklamalar oluşturmaktadır.</w:t>
      </w:r>
    </w:p>
    <w:p w14:paraId="5036549E" w14:textId="719F3AE2" w:rsidR="00FD1FA5" w:rsidRDefault="00FD1FA5" w:rsidP="00BC27A0">
      <w:pPr>
        <w:shd w:val="clear" w:color="auto" w:fill="FFFFFF" w:themeFill="background1"/>
        <w:jc w:val="both"/>
        <w:rPr>
          <w:rFonts w:cstheme="minorHAnsi"/>
        </w:rPr>
      </w:pPr>
      <w:r w:rsidRPr="00AC084A">
        <w:rPr>
          <w:rFonts w:cstheme="minorHAnsi"/>
        </w:rPr>
        <w:t>Suç Gelirlerinin Aklanmasının ve Terörün Finansmanının Önlenmesine Dair Tedbirler Hakkında Yönetmelik</w:t>
      </w:r>
      <w:r>
        <w:rPr>
          <w:rFonts w:cstheme="minorHAnsi"/>
        </w:rPr>
        <w:t>’in 4. maddesi gereğince y</w:t>
      </w:r>
      <w:r w:rsidRPr="00FD1FA5">
        <w:rPr>
          <w:rFonts w:cstheme="minorHAnsi"/>
        </w:rPr>
        <w:t>ükümlü, aşağıda sayılanlar ile bunların şube, acente, temsilci ve ticari vekilleri ile benzeri bağlı birimleridir:</w:t>
      </w:r>
    </w:p>
    <w:p w14:paraId="7623DD89" w14:textId="598EB8E1" w:rsidR="00FD1FA5" w:rsidRPr="002B0E91" w:rsidRDefault="00FD1FA5" w:rsidP="002B0E91">
      <w:pPr>
        <w:shd w:val="clear" w:color="auto" w:fill="F2F2F2" w:themeFill="background1" w:themeFillShade="F2"/>
        <w:jc w:val="both"/>
        <w:rPr>
          <w:rFonts w:cstheme="minorHAnsi"/>
          <w:i/>
          <w:iCs/>
          <w:sz w:val="20"/>
          <w:szCs w:val="20"/>
        </w:rPr>
      </w:pPr>
      <w:r w:rsidRPr="002B0E91">
        <w:rPr>
          <w:rFonts w:cstheme="minorHAnsi"/>
          <w:i/>
          <w:iCs/>
          <w:sz w:val="20"/>
          <w:szCs w:val="20"/>
        </w:rPr>
        <w:t>a) Bankalar.</w:t>
      </w:r>
    </w:p>
    <w:p w14:paraId="3D7FA715" w14:textId="77777777"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b) Bankalar dışında banka kartı veya kredi kartı düzenleme yetkisini haiz kuruluşlar.</w:t>
      </w:r>
    </w:p>
    <w:p w14:paraId="6539A260" w14:textId="77777777"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c) Kambiyo mevzuatında belirtilen yetkili müesseseler.</w:t>
      </w:r>
    </w:p>
    <w:p w14:paraId="6F171D3B" w14:textId="545FD192" w:rsidR="00FD1FA5" w:rsidRPr="00FD1FA5" w:rsidRDefault="00FD1FA5" w:rsidP="002B0E91">
      <w:pPr>
        <w:shd w:val="clear" w:color="auto" w:fill="F2F2F2" w:themeFill="background1" w:themeFillShade="F2"/>
        <w:jc w:val="both"/>
        <w:rPr>
          <w:rFonts w:cstheme="minorHAnsi"/>
          <w:i/>
          <w:iCs/>
          <w:sz w:val="20"/>
          <w:szCs w:val="20"/>
        </w:rPr>
      </w:pPr>
      <w:proofErr w:type="gramStart"/>
      <w:r w:rsidRPr="00FD1FA5">
        <w:rPr>
          <w:rFonts w:cstheme="minorHAnsi"/>
          <w:i/>
          <w:iCs/>
          <w:sz w:val="20"/>
          <w:szCs w:val="20"/>
        </w:rPr>
        <w:t>ç</w:t>
      </w:r>
      <w:proofErr w:type="gramEnd"/>
      <w:r w:rsidRPr="00FD1FA5">
        <w:rPr>
          <w:rFonts w:cstheme="minorHAnsi"/>
          <w:i/>
          <w:iCs/>
          <w:sz w:val="20"/>
          <w:szCs w:val="20"/>
        </w:rPr>
        <w:t>) Finansman ve faktoring şirketleri.</w:t>
      </w:r>
    </w:p>
    <w:p w14:paraId="64C950E6" w14:textId="679E4441"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d) Sermaye piyasası aracı kurumları ve portföy yönetim şirketleri.</w:t>
      </w:r>
    </w:p>
    <w:p w14:paraId="1A317A1F" w14:textId="7829825B"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e) Ödeme kuruluşları ile elektronik para kuruluşları.</w:t>
      </w:r>
    </w:p>
    <w:p w14:paraId="7726C6AF" w14:textId="77777777"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f) Yatırım ortaklıkları.</w:t>
      </w:r>
    </w:p>
    <w:p w14:paraId="25A11618" w14:textId="656A191F"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g) Sigorta, reasürans ve emeklilik şirketleri ile sigorta ve reasürans brokerleri.</w:t>
      </w:r>
    </w:p>
    <w:p w14:paraId="2FD96D90" w14:textId="77777777" w:rsidR="00FD1FA5" w:rsidRPr="00FD1FA5" w:rsidRDefault="00FD1FA5" w:rsidP="002B0E91">
      <w:pPr>
        <w:shd w:val="clear" w:color="auto" w:fill="F2F2F2" w:themeFill="background1" w:themeFillShade="F2"/>
        <w:jc w:val="both"/>
        <w:rPr>
          <w:rFonts w:cstheme="minorHAnsi"/>
          <w:i/>
          <w:iCs/>
          <w:sz w:val="20"/>
          <w:szCs w:val="20"/>
        </w:rPr>
      </w:pPr>
      <w:proofErr w:type="gramStart"/>
      <w:r w:rsidRPr="00FD1FA5">
        <w:rPr>
          <w:rFonts w:cstheme="minorHAnsi"/>
          <w:i/>
          <w:iCs/>
          <w:sz w:val="20"/>
          <w:szCs w:val="20"/>
        </w:rPr>
        <w:t>ğ</w:t>
      </w:r>
      <w:proofErr w:type="gramEnd"/>
      <w:r w:rsidRPr="00FD1FA5">
        <w:rPr>
          <w:rFonts w:cstheme="minorHAnsi"/>
          <w:i/>
          <w:iCs/>
          <w:sz w:val="20"/>
          <w:szCs w:val="20"/>
        </w:rPr>
        <w:t>) Finansal kiralama şirketleri.</w:t>
      </w:r>
    </w:p>
    <w:p w14:paraId="434CF4CB" w14:textId="77777777"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h) Sermaye piyasası mevzuatı çerçevesinde takas ve saklama hizmeti veren kuruluşlar.</w:t>
      </w:r>
    </w:p>
    <w:p w14:paraId="7A57F485" w14:textId="1F2C85F3" w:rsidR="00FD1FA5" w:rsidRPr="00FD1FA5" w:rsidRDefault="00FD1FA5" w:rsidP="002B0E91">
      <w:pPr>
        <w:shd w:val="clear" w:color="auto" w:fill="F2F2F2" w:themeFill="background1" w:themeFillShade="F2"/>
        <w:jc w:val="both"/>
        <w:rPr>
          <w:rFonts w:cstheme="minorHAnsi"/>
          <w:i/>
          <w:iCs/>
          <w:sz w:val="20"/>
          <w:szCs w:val="20"/>
        </w:rPr>
      </w:pPr>
      <w:proofErr w:type="gramStart"/>
      <w:r w:rsidRPr="00FD1FA5">
        <w:rPr>
          <w:rFonts w:cstheme="minorHAnsi"/>
          <w:i/>
          <w:iCs/>
          <w:sz w:val="20"/>
          <w:szCs w:val="20"/>
        </w:rPr>
        <w:t>ı</w:t>
      </w:r>
      <w:proofErr w:type="gramEnd"/>
      <w:r w:rsidRPr="00FD1FA5">
        <w:rPr>
          <w:rFonts w:cstheme="minorHAnsi"/>
          <w:i/>
          <w:iCs/>
          <w:sz w:val="20"/>
          <w:szCs w:val="20"/>
        </w:rPr>
        <w:t>) Kıymetli Madenler ve Kıymetli Taşlar Piyasasına ilişkin saklama hizmeti ile sınırlı olmak üzere Borsa İstanbul Anonim Şirketi.</w:t>
      </w:r>
    </w:p>
    <w:p w14:paraId="1B4C9E49" w14:textId="19A813A5"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i) Posta ve Telgraf Teşkilatı Anonim Şirketi ile kargo şirketleri.</w:t>
      </w:r>
    </w:p>
    <w:p w14:paraId="656115AF" w14:textId="77777777"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j) Varlık yönetim şirketleri.</w:t>
      </w:r>
    </w:p>
    <w:p w14:paraId="5889B922" w14:textId="16D9882B"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k) Kıymetli maden, taş veya mücevher alım satımı yapanlar ile bu işlemlere aracılık edenler. </w:t>
      </w:r>
    </w:p>
    <w:p w14:paraId="36903008" w14:textId="77777777"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l) Cumhuriyet altın sikkeleri ile Cumhuriyet ziynet altınlarını basma faaliyeti ile sınırlı olmak üzere Darphane ve Damga Matbaası Genel Müdürlüğü.</w:t>
      </w:r>
    </w:p>
    <w:p w14:paraId="548F8536" w14:textId="64CDC0F4"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lastRenderedPageBreak/>
        <w:t>m) Kıymetli madenler aracı kuruluşları.</w:t>
      </w:r>
    </w:p>
    <w:p w14:paraId="20F64E72" w14:textId="77777777"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n) Ticaret amacıyla taşınmaz alım satımıyla uğraşanlar ile bu işlemlere aracılık edenler.</w:t>
      </w:r>
    </w:p>
    <w:p w14:paraId="3C467B03" w14:textId="6264AA91" w:rsidR="00FD1FA5" w:rsidRPr="002B0E91" w:rsidRDefault="00FD1FA5" w:rsidP="002B0E91">
      <w:pPr>
        <w:shd w:val="clear" w:color="auto" w:fill="F2F2F2" w:themeFill="background1" w:themeFillShade="F2"/>
        <w:jc w:val="both"/>
        <w:rPr>
          <w:rFonts w:cstheme="minorHAnsi"/>
          <w:i/>
          <w:iCs/>
          <w:sz w:val="20"/>
          <w:szCs w:val="20"/>
          <w:vertAlign w:val="superscript"/>
        </w:rPr>
      </w:pPr>
      <w:r w:rsidRPr="00FD1FA5">
        <w:rPr>
          <w:rFonts w:cstheme="minorHAnsi"/>
          <w:i/>
          <w:iCs/>
          <w:sz w:val="20"/>
          <w:szCs w:val="20"/>
        </w:rPr>
        <w:t>o) İş makineleri dâhil her türlü deniz, hava ve kara nakil vasıtalarının alım satımı ile uğraşanlar ile bu işlemlere aracılık edenler.</w:t>
      </w:r>
      <w:r w:rsidRPr="00FD1FA5">
        <w:rPr>
          <w:rFonts w:cstheme="minorHAnsi"/>
          <w:i/>
          <w:iCs/>
          <w:sz w:val="20"/>
          <w:szCs w:val="20"/>
          <w:vertAlign w:val="superscript"/>
        </w:rPr>
        <w:t> </w:t>
      </w:r>
    </w:p>
    <w:p w14:paraId="508C4A3E" w14:textId="225BF158" w:rsidR="00FD1FA5" w:rsidRPr="00FD1FA5" w:rsidRDefault="00FD1FA5" w:rsidP="002B0E91">
      <w:pPr>
        <w:shd w:val="clear" w:color="auto" w:fill="F2F2F2" w:themeFill="background1" w:themeFillShade="F2"/>
        <w:jc w:val="both"/>
        <w:rPr>
          <w:rFonts w:cstheme="minorHAnsi"/>
          <w:i/>
          <w:iCs/>
          <w:sz w:val="20"/>
          <w:szCs w:val="20"/>
        </w:rPr>
      </w:pPr>
      <w:proofErr w:type="gramStart"/>
      <w:r w:rsidRPr="00FD1FA5">
        <w:rPr>
          <w:rFonts w:cstheme="minorHAnsi"/>
          <w:i/>
          <w:iCs/>
          <w:sz w:val="20"/>
          <w:szCs w:val="20"/>
        </w:rPr>
        <w:t>ö</w:t>
      </w:r>
      <w:proofErr w:type="gramEnd"/>
      <w:r w:rsidRPr="00FD1FA5">
        <w:rPr>
          <w:rFonts w:cstheme="minorHAnsi"/>
          <w:i/>
          <w:iCs/>
          <w:sz w:val="20"/>
          <w:szCs w:val="20"/>
        </w:rPr>
        <w:t>) Tarihi eser, antika ve sanat eseri alım satımı ile uğraşanlar veya bunların müzayedeciliğini yapanlar.</w:t>
      </w:r>
    </w:p>
    <w:p w14:paraId="31091054" w14:textId="77777777"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p) Milli Piyango İdaresi Genel Müdürlüğü, Türkiye Jokey Kulübü ve Spor Toto Teşkilat Başkanlığı dâhil talih ve bahis oyunları alanında faaliyet gösterenler.</w:t>
      </w:r>
    </w:p>
    <w:p w14:paraId="43C43E42" w14:textId="77777777"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r) Spor kulüpleri.</w:t>
      </w:r>
    </w:p>
    <w:p w14:paraId="5A95385A" w14:textId="77777777"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s) Noterler.</w:t>
      </w:r>
    </w:p>
    <w:p w14:paraId="299FAE63" w14:textId="45921188"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ş)</w:t>
      </w:r>
      <w:r w:rsidRPr="00FD1FA5">
        <w:rPr>
          <w:rFonts w:cstheme="minorHAnsi"/>
          <w:b/>
          <w:bCs/>
          <w:i/>
          <w:iCs/>
          <w:sz w:val="20"/>
          <w:szCs w:val="20"/>
        </w:rPr>
        <w:t> </w:t>
      </w:r>
      <w:r w:rsidRPr="00FD1FA5">
        <w:rPr>
          <w:rFonts w:cstheme="minorHAnsi"/>
          <w:i/>
          <w:iCs/>
          <w:sz w:val="20"/>
          <w:szCs w:val="20"/>
        </w:rPr>
        <w:t>19/3/1969 tarihli ve 1136 sayılı Avukatlık Kanunu</w:t>
      </w:r>
      <w:r w:rsidR="002B0E91" w:rsidRPr="002B0E91">
        <w:rPr>
          <w:rFonts w:cstheme="minorHAnsi"/>
          <w:i/>
          <w:iCs/>
          <w:sz w:val="20"/>
          <w:szCs w:val="20"/>
        </w:rPr>
        <w:t>’</w:t>
      </w:r>
      <w:r w:rsidRPr="00FD1FA5">
        <w:rPr>
          <w:rFonts w:cstheme="minorHAnsi"/>
          <w:i/>
          <w:iCs/>
          <w:sz w:val="20"/>
          <w:szCs w:val="20"/>
        </w:rPr>
        <w:t>nun 35</w:t>
      </w:r>
      <w:r w:rsidR="002B0E91" w:rsidRPr="002B0E91">
        <w:rPr>
          <w:rFonts w:cstheme="minorHAnsi"/>
          <w:i/>
          <w:iCs/>
          <w:sz w:val="20"/>
          <w:szCs w:val="20"/>
        </w:rPr>
        <w:t>’</w:t>
      </w:r>
      <w:r w:rsidRPr="00FD1FA5">
        <w:rPr>
          <w:rFonts w:cstheme="minorHAnsi"/>
          <w:i/>
          <w:iCs/>
          <w:sz w:val="20"/>
          <w:szCs w:val="20"/>
        </w:rPr>
        <w:t>inci maddesinin birinci ve üçüncü fıkrası ile alternatif uyuşmazlık çözüm yolları kapsamında yürütülen mesleki faaliyetler sırasında edinilen bilgiler hariç olmak, savunma hakkı ile hukuki dinlenilme hakkı bakımından diğer kanun hükümlerine aykırı olmamak ve yalnızca avukatların yapabileceği işlerle ilgili olarak 1136 sayılı Kanunun 36</w:t>
      </w:r>
      <w:r w:rsidR="002B0E91" w:rsidRPr="002B0E91">
        <w:rPr>
          <w:rFonts w:cstheme="minorHAnsi"/>
          <w:i/>
          <w:iCs/>
          <w:sz w:val="20"/>
          <w:szCs w:val="20"/>
        </w:rPr>
        <w:t>’</w:t>
      </w:r>
      <w:r w:rsidRPr="00FD1FA5">
        <w:rPr>
          <w:rFonts w:cstheme="minorHAnsi"/>
          <w:i/>
          <w:iCs/>
          <w:sz w:val="20"/>
          <w:szCs w:val="20"/>
        </w:rPr>
        <w:t>ncı maddesi hükümleri saklı kalmak kaydıyla, taşınmaz alım satımı, sınırlı ayni hak kurulması ve kaldırılması, şirket, vakıf ve dernek kurulması, birleştirilmesi ile bunların idaresi, devredilmesi ve tasfiyesi işlerine ilişkin finansal işlemlerin gerçekleştirilmesi, banka, menkul kıymet ve her türlü hesaplar ile bu hesaplarda yer alan varlıkların idaresi işleriyle sınırlı olmak üzere serbest avukatlar.</w:t>
      </w:r>
    </w:p>
    <w:p w14:paraId="14C20D51" w14:textId="1D2B4B74"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t) Bir işverene bağlı olmaksızın çalışan serbest muhasebeci, serbest muhasebeci mali müşavir ve yeminli mali müşavirler.</w:t>
      </w:r>
    </w:p>
    <w:p w14:paraId="73859990" w14:textId="7819B6AA"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u) Finansal piyasalarda denetim yapmakla yetkili bağımsız denetim kuruluşları.</w:t>
      </w:r>
    </w:p>
    <w:p w14:paraId="676131E8" w14:textId="210DB011" w:rsidR="00FD1FA5" w:rsidRPr="00FD1FA5" w:rsidRDefault="00FD1FA5" w:rsidP="002B0E91">
      <w:pPr>
        <w:shd w:val="clear" w:color="auto" w:fill="F2F2F2" w:themeFill="background1" w:themeFillShade="F2"/>
        <w:jc w:val="both"/>
        <w:rPr>
          <w:rFonts w:cstheme="minorHAnsi"/>
          <w:i/>
          <w:iCs/>
          <w:sz w:val="20"/>
          <w:szCs w:val="20"/>
        </w:rPr>
      </w:pPr>
      <w:proofErr w:type="gramStart"/>
      <w:r w:rsidRPr="00FD1FA5">
        <w:rPr>
          <w:rFonts w:cstheme="minorHAnsi"/>
          <w:i/>
          <w:iCs/>
          <w:sz w:val="20"/>
          <w:szCs w:val="20"/>
        </w:rPr>
        <w:t>ü</w:t>
      </w:r>
      <w:proofErr w:type="gramEnd"/>
      <w:r w:rsidRPr="00FD1FA5">
        <w:rPr>
          <w:rFonts w:cstheme="minorHAnsi"/>
          <w:i/>
          <w:iCs/>
          <w:sz w:val="20"/>
          <w:szCs w:val="20"/>
        </w:rPr>
        <w:t>) Kripto varlık hizmet sağlayıcılar.</w:t>
      </w:r>
    </w:p>
    <w:p w14:paraId="16C47038" w14:textId="25284F6C"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v) Tasarruf finansman şirketleri.</w:t>
      </w:r>
    </w:p>
    <w:p w14:paraId="0911CD25" w14:textId="44C30E1C"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y) Elektronik ticaret hizmet sağlayıcılar ile gerçekleştirilen işlemlerle sınırlı olarak orta, büyük veya çok büyük ölçekli elektronik ticaret aracı hizmet sağlayıcılar.</w:t>
      </w:r>
    </w:p>
    <w:p w14:paraId="0AF7ABC8" w14:textId="7A5C0FEE"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Merkezi yurt dışında bulunan yükümlünün Türkiye’deki şube, acente, temsilci ve ticari vekilleri ile benzeri bağlı birimleri birinci fıkra kapsamında yükümlü sayılır.</w:t>
      </w:r>
    </w:p>
    <w:p w14:paraId="5A85D8FE" w14:textId="4DBFD5DC" w:rsidR="00FD1FA5" w:rsidRPr="00FD1FA5" w:rsidRDefault="00FD1FA5" w:rsidP="002B0E91">
      <w:pPr>
        <w:shd w:val="clear" w:color="auto" w:fill="F2F2F2" w:themeFill="background1" w:themeFillShade="F2"/>
        <w:jc w:val="both"/>
        <w:rPr>
          <w:rFonts w:cstheme="minorHAnsi"/>
          <w:i/>
          <w:iCs/>
          <w:sz w:val="20"/>
          <w:szCs w:val="20"/>
        </w:rPr>
      </w:pPr>
      <w:r w:rsidRPr="00FD1FA5">
        <w:rPr>
          <w:rFonts w:cstheme="minorHAnsi"/>
          <w:i/>
          <w:iCs/>
          <w:sz w:val="20"/>
          <w:szCs w:val="20"/>
        </w:rPr>
        <w:t>Merkezi Türkiye’de bulunan yükümlünün yurt dışındaki şube, acente, temsilci ve ticari vekilleri ile benzeri bağlı birimleri, faaliyet gösterdikleri ülkenin mevzuatı ve yetkili otoritelerinin izin verdiği ölçüde asgari olarak bu Yönetmelikte yer alan tedbirleri uygulamak zorundadır. İlgili ülke mevzuatının bu tedbirlerin uygulanmasına izin vermemesi halinde durum Başkanlığa bildirilir.</w:t>
      </w:r>
      <w:r w:rsidR="002B0E91" w:rsidRPr="002B0E91">
        <w:rPr>
          <w:rFonts w:cstheme="minorHAnsi"/>
          <w:i/>
          <w:iCs/>
          <w:sz w:val="20"/>
          <w:szCs w:val="20"/>
        </w:rPr>
        <w:t>”</w:t>
      </w:r>
      <w:r w:rsidRPr="00FD1FA5">
        <w:rPr>
          <w:rFonts w:cstheme="minorHAnsi"/>
          <w:i/>
          <w:iCs/>
          <w:sz w:val="20"/>
          <w:szCs w:val="20"/>
          <w:vertAlign w:val="superscript"/>
        </w:rPr>
        <w:t> </w:t>
      </w:r>
    </w:p>
    <w:p w14:paraId="7109184F" w14:textId="240D73F6" w:rsidR="00BC27A0" w:rsidRPr="00FD1FA5" w:rsidRDefault="00FD1FA5" w:rsidP="00BC27A0">
      <w:pPr>
        <w:shd w:val="clear" w:color="auto" w:fill="FFFFFF" w:themeFill="background1"/>
        <w:jc w:val="both"/>
        <w:rPr>
          <w:rFonts w:cstheme="minorHAnsi"/>
          <w:b/>
          <w:bCs/>
        </w:rPr>
      </w:pPr>
      <w:r w:rsidRPr="00FD1FA5">
        <w:rPr>
          <w:rFonts w:cstheme="minorHAnsi"/>
          <w:b/>
          <w:bCs/>
        </w:rPr>
        <w:t>5 Sıra No’lu MASAK Genel Tebliğinde y</w:t>
      </w:r>
      <w:r w:rsidR="003F298E" w:rsidRPr="00FD1FA5">
        <w:rPr>
          <w:rFonts w:cstheme="minorHAnsi"/>
          <w:b/>
          <w:bCs/>
        </w:rPr>
        <w:t>apılan değişiklikler aşağıdaki gibidir:</w:t>
      </w:r>
    </w:p>
    <w:p w14:paraId="20D7950F" w14:textId="572A569E" w:rsidR="003F298E" w:rsidRDefault="003F298E" w:rsidP="00BC27A0">
      <w:pPr>
        <w:shd w:val="clear" w:color="auto" w:fill="FFFFFF" w:themeFill="background1"/>
        <w:jc w:val="both"/>
        <w:rPr>
          <w:rFonts w:cstheme="minorHAnsi"/>
        </w:rPr>
      </w:pPr>
      <w:r w:rsidRPr="00492CE7">
        <w:rPr>
          <w:rFonts w:cstheme="minorHAnsi"/>
          <w:b/>
          <w:bCs/>
        </w:rPr>
        <w:t>1.</w:t>
      </w:r>
      <w:r>
        <w:rPr>
          <w:rFonts w:cstheme="minorHAnsi"/>
        </w:rPr>
        <w:t xml:space="preserve"> 31 Sıra No’lu Tebliğin 1. maddesi ile </w:t>
      </w:r>
      <w:r w:rsidRPr="003F298E">
        <w:rPr>
          <w:rFonts w:cstheme="minorHAnsi"/>
        </w:rPr>
        <w:t>9/4/2008 tarihli ve 26842 sayılı Resmî Gazete’de yayımlanan Mali Suçları Araştırma Kurulu Genel Tebliği (Sıra No: 5)’nin 2.1</w:t>
      </w:r>
      <w:r>
        <w:rPr>
          <w:rFonts w:cstheme="minorHAnsi"/>
        </w:rPr>
        <w:t>’</w:t>
      </w:r>
      <w:r w:rsidRPr="003F298E">
        <w:rPr>
          <w:rFonts w:cstheme="minorHAnsi"/>
        </w:rPr>
        <w:t>inci maddesinin beşinci paragrafına “değerlendirilen işlemlerde” ibaresinden sonra gelmek üzere “ve müşterinin yabancı kamusal nüfuz sahibi kişi olduğu durumlarda” ibaresi eklenmiştir.</w:t>
      </w:r>
    </w:p>
    <w:p w14:paraId="3E4610A9" w14:textId="42ECCC12" w:rsidR="003F298E" w:rsidRDefault="003F298E" w:rsidP="00BC27A0">
      <w:pPr>
        <w:shd w:val="clear" w:color="auto" w:fill="FFFFFF" w:themeFill="background1"/>
        <w:jc w:val="both"/>
        <w:rPr>
          <w:rFonts w:cstheme="minorHAnsi"/>
        </w:rPr>
      </w:pPr>
      <w:r>
        <w:rPr>
          <w:rFonts w:cstheme="minorHAnsi"/>
        </w:rPr>
        <w:t>Değişiklik sonrasında “</w:t>
      </w:r>
      <w:r w:rsidRPr="003F298E">
        <w:rPr>
          <w:rFonts w:cstheme="minorHAnsi"/>
        </w:rPr>
        <w:t>Basitleştirilmiş Tedbirlerin Mahiyeti ve Sınırları</w:t>
      </w:r>
      <w:r>
        <w:rPr>
          <w:rFonts w:cstheme="minorHAnsi"/>
        </w:rPr>
        <w:t>” başlıklı</w:t>
      </w:r>
      <w:r w:rsidRPr="003F298E">
        <w:rPr>
          <w:rFonts w:cstheme="minorHAnsi"/>
        </w:rPr>
        <w:t xml:space="preserve"> </w:t>
      </w:r>
      <w:r>
        <w:rPr>
          <w:rFonts w:cstheme="minorHAnsi"/>
        </w:rPr>
        <w:t>2.1. maddenin 5. paragrafı aşağıdaki gibidir:</w:t>
      </w:r>
    </w:p>
    <w:p w14:paraId="2E6181E1" w14:textId="77777777" w:rsidR="003F298E" w:rsidRPr="003F298E" w:rsidRDefault="003F298E" w:rsidP="003F298E">
      <w:pPr>
        <w:shd w:val="clear" w:color="auto" w:fill="F2F2F2" w:themeFill="background1" w:themeFillShade="F2"/>
        <w:jc w:val="both"/>
        <w:rPr>
          <w:rFonts w:cstheme="minorHAnsi"/>
          <w:i/>
          <w:iCs/>
          <w:sz w:val="20"/>
          <w:szCs w:val="20"/>
        </w:rPr>
      </w:pPr>
      <w:r w:rsidRPr="003F298E">
        <w:rPr>
          <w:rFonts w:cstheme="minorHAnsi"/>
          <w:i/>
          <w:iCs/>
          <w:sz w:val="20"/>
          <w:szCs w:val="20"/>
        </w:rPr>
        <w:lastRenderedPageBreak/>
        <w:t>“…</w:t>
      </w:r>
    </w:p>
    <w:p w14:paraId="4FDDD0BF" w14:textId="67A9A9A3" w:rsidR="003F298E" w:rsidRPr="003F298E" w:rsidRDefault="003F298E" w:rsidP="003F298E">
      <w:pPr>
        <w:shd w:val="clear" w:color="auto" w:fill="F2F2F2" w:themeFill="background1" w:themeFillShade="F2"/>
        <w:jc w:val="both"/>
        <w:rPr>
          <w:rFonts w:cstheme="minorHAnsi"/>
          <w:i/>
          <w:iCs/>
          <w:sz w:val="20"/>
          <w:szCs w:val="20"/>
        </w:rPr>
      </w:pPr>
      <w:r w:rsidRPr="003F298E">
        <w:rPr>
          <w:rFonts w:cstheme="minorHAnsi"/>
          <w:i/>
          <w:iCs/>
          <w:sz w:val="20"/>
          <w:szCs w:val="20"/>
        </w:rPr>
        <w:t>Basitleştirilmiş tedbir uygulanabilecek her bir durum için yükümlüler; aklama veya terörün finansmanı bakımından kötüye kullanımın söz konusu olup olmayacağını ve dolayısıyla aklama ve terörün finansmanı riskini her bir işlem bakımından ayrı ayrı değerlendirmelidirler.</w:t>
      </w:r>
      <w:r w:rsidRPr="003F298E">
        <w:rPr>
          <w:rFonts w:cstheme="minorHAnsi"/>
          <w:b/>
          <w:bCs/>
          <w:i/>
          <w:iCs/>
          <w:sz w:val="20"/>
          <w:szCs w:val="20"/>
        </w:rPr>
        <w:t> </w:t>
      </w:r>
      <w:r w:rsidRPr="003F298E">
        <w:rPr>
          <w:rFonts w:cstheme="minorHAnsi"/>
          <w:i/>
          <w:iCs/>
          <w:sz w:val="20"/>
          <w:szCs w:val="20"/>
        </w:rPr>
        <w:t xml:space="preserve">Bu kapsamda riskli olarak değerlendirilen işlemlerde </w:t>
      </w:r>
      <w:r w:rsidRPr="003F298E">
        <w:rPr>
          <w:rFonts w:cstheme="minorHAnsi"/>
          <w:b/>
          <w:bCs/>
          <w:i/>
          <w:iCs/>
          <w:sz w:val="20"/>
          <w:szCs w:val="20"/>
        </w:rPr>
        <w:t>ve müşterinin yabancı kamusal nüfuz sahibi kişi olduğu durumlarda</w:t>
      </w:r>
      <w:r w:rsidRPr="003F298E">
        <w:rPr>
          <w:rFonts w:cstheme="minorHAnsi"/>
          <w:i/>
          <w:iCs/>
          <w:sz w:val="20"/>
          <w:szCs w:val="20"/>
        </w:rPr>
        <w:t xml:space="preserve"> yükümlüler, basitleştirilmiş tedbir uygulamasından yararlanamaz. Aklama veya terörün finansmanı şüphesinin söz konusu olduğu durumlarda ise basitleştirilmiş tedbir uygulanmaz ve konu şüpheli işlem bildirimi olarak Mali Suçları Araştırma Kurulu Başkanlığına bildirilir.”</w:t>
      </w:r>
    </w:p>
    <w:p w14:paraId="4D4A6A0E" w14:textId="0C9BE679" w:rsidR="003F298E" w:rsidRPr="003F298E" w:rsidRDefault="003F298E" w:rsidP="003F298E">
      <w:pPr>
        <w:shd w:val="clear" w:color="auto" w:fill="FFFFFF" w:themeFill="background1"/>
        <w:jc w:val="both"/>
        <w:rPr>
          <w:rFonts w:cstheme="minorHAnsi"/>
        </w:rPr>
      </w:pPr>
      <w:r w:rsidRPr="003F298E">
        <w:rPr>
          <w:rFonts w:cstheme="minorHAnsi"/>
          <w:b/>
          <w:bCs/>
        </w:rPr>
        <w:t>2.</w:t>
      </w:r>
      <w:r>
        <w:rPr>
          <w:rFonts w:cstheme="minorHAnsi"/>
        </w:rPr>
        <w:t xml:space="preserve"> Tebliğin 2. maddesi ile </w:t>
      </w:r>
      <w:r w:rsidRPr="003F298E">
        <w:rPr>
          <w:rFonts w:cstheme="minorHAnsi"/>
        </w:rPr>
        <w:t>Aynı Tebliğin 2.2.7</w:t>
      </w:r>
      <w:r>
        <w:rPr>
          <w:rFonts w:cstheme="minorHAnsi"/>
        </w:rPr>
        <w:t>’</w:t>
      </w:r>
      <w:r w:rsidRPr="003F298E">
        <w:rPr>
          <w:rFonts w:cstheme="minorHAnsi"/>
        </w:rPr>
        <w:t>nci maddesinin başlığında yer alan “Sözleşmelerine” ibaresi “Sözleşmeleri ile Diğer Sigorta Sözleşmelerine” şeklinde değiştirilmiş, aynı maddeye aşağıdaki paragraf eklenmiştir.</w:t>
      </w:r>
    </w:p>
    <w:p w14:paraId="3AD38BDB" w14:textId="77777777" w:rsidR="003F298E" w:rsidRPr="003F298E" w:rsidRDefault="003F298E" w:rsidP="003F298E">
      <w:pPr>
        <w:shd w:val="clear" w:color="auto" w:fill="F2F2F2" w:themeFill="background1" w:themeFillShade="F2"/>
        <w:jc w:val="both"/>
        <w:rPr>
          <w:rFonts w:cstheme="minorHAnsi"/>
          <w:i/>
          <w:iCs/>
          <w:sz w:val="20"/>
          <w:szCs w:val="20"/>
        </w:rPr>
      </w:pPr>
      <w:r w:rsidRPr="003F298E">
        <w:rPr>
          <w:rFonts w:cstheme="minorHAnsi"/>
          <w:i/>
          <w:iCs/>
          <w:sz w:val="20"/>
          <w:szCs w:val="20"/>
        </w:rPr>
        <w:t>“Sigorta ve emeklilik şirketleri tarafından, sigorta ettiren veya sigortalı dışında, üçüncü kişilere yapılacak hasar ve tazminat ödemelerinde, kimliğe ilişkin bilgilerin (adı, soyadı, doğum tarihi, uyruğu, Türk vatandaşları için T.C. kimlik numarası, yabancı uyruklular için yabancı kimlik numarası) İçişleri Bakanlığı Nüfus ve Vatandaşlık İşleri Genel Müdürlüğü veri tabanı kullanılarak sorgulanması yoluyla teyit edilmesi ve ödemelerin üçüncü kişinin kimlik bilgileri ile uyumlu bir banka hesabı vasıtasıyla yapılması koşuluyla, kimlik bilgilerinin Yönetmeliğin ilgili maddelerindeki usul çerçevesinde teyidi ile imza örneği alınması zorunlu değildir.”</w:t>
      </w:r>
    </w:p>
    <w:p w14:paraId="3E2C9A9A" w14:textId="0F6EF424" w:rsidR="003F298E" w:rsidRDefault="003F298E" w:rsidP="00BC27A0">
      <w:pPr>
        <w:shd w:val="clear" w:color="auto" w:fill="FFFFFF" w:themeFill="background1"/>
        <w:jc w:val="both"/>
        <w:rPr>
          <w:rFonts w:cstheme="minorHAnsi"/>
        </w:rPr>
      </w:pPr>
      <w:r>
        <w:rPr>
          <w:rFonts w:cstheme="minorHAnsi"/>
        </w:rPr>
        <w:t>Değişiklik sonrasında 2.2.7’nci maddenin başlığı şu şekildedir:</w:t>
      </w:r>
    </w:p>
    <w:p w14:paraId="344A07FA" w14:textId="7E9F9806" w:rsidR="003F298E" w:rsidRPr="003F298E" w:rsidRDefault="003F298E" w:rsidP="003F298E">
      <w:pPr>
        <w:shd w:val="clear" w:color="auto" w:fill="F2F2F2" w:themeFill="background1" w:themeFillShade="F2"/>
        <w:jc w:val="both"/>
        <w:rPr>
          <w:rFonts w:cstheme="minorHAnsi"/>
          <w:i/>
          <w:iCs/>
          <w:sz w:val="20"/>
          <w:szCs w:val="20"/>
        </w:rPr>
      </w:pPr>
      <w:r w:rsidRPr="003F298E">
        <w:rPr>
          <w:rFonts w:cstheme="minorHAnsi"/>
          <w:i/>
          <w:iCs/>
          <w:sz w:val="20"/>
          <w:szCs w:val="20"/>
        </w:rPr>
        <w:t xml:space="preserve">“2.2.7. Emeklilik Sözleşmeleri, Emeklilik Planları ve Hayat Sigortası </w:t>
      </w:r>
      <w:r w:rsidRPr="003F298E">
        <w:rPr>
          <w:rFonts w:cstheme="minorHAnsi"/>
          <w:b/>
          <w:bCs/>
          <w:i/>
          <w:iCs/>
          <w:sz w:val="20"/>
          <w:szCs w:val="20"/>
        </w:rPr>
        <w:t>Sözleşmeleri ile Diğer Sigorta Sözleşmelerin</w:t>
      </w:r>
      <w:r w:rsidRPr="003F298E">
        <w:rPr>
          <w:rFonts w:cstheme="minorHAnsi"/>
          <w:i/>
          <w:iCs/>
          <w:sz w:val="20"/>
          <w:szCs w:val="20"/>
        </w:rPr>
        <w:t>e İlişkin İşlemler”</w:t>
      </w:r>
    </w:p>
    <w:p w14:paraId="7EBA076D" w14:textId="5EC6BE77" w:rsidR="003F298E" w:rsidRPr="003F298E" w:rsidRDefault="003F298E" w:rsidP="003F298E">
      <w:pPr>
        <w:shd w:val="clear" w:color="auto" w:fill="FFFFFF" w:themeFill="background1"/>
        <w:jc w:val="both"/>
        <w:rPr>
          <w:rFonts w:cstheme="minorHAnsi"/>
        </w:rPr>
      </w:pPr>
      <w:r w:rsidRPr="00492CE7">
        <w:rPr>
          <w:rFonts w:cstheme="minorHAnsi"/>
          <w:b/>
          <w:bCs/>
        </w:rPr>
        <w:t>3.</w:t>
      </w:r>
      <w:r>
        <w:rPr>
          <w:rFonts w:cstheme="minorHAnsi"/>
        </w:rPr>
        <w:t xml:space="preserve"> Tebliğin 3. maddesi ile a</w:t>
      </w:r>
      <w:r w:rsidRPr="003F298E">
        <w:rPr>
          <w:rFonts w:cstheme="minorHAnsi"/>
        </w:rPr>
        <w:t xml:space="preserve">ynı Tebliğin </w:t>
      </w:r>
      <w:r w:rsidR="00492CE7">
        <w:rPr>
          <w:rFonts w:cstheme="minorHAnsi"/>
        </w:rPr>
        <w:t>“</w:t>
      </w:r>
      <w:r w:rsidR="00492CE7" w:rsidRPr="00492CE7">
        <w:rPr>
          <w:rFonts w:cstheme="minorHAnsi"/>
        </w:rPr>
        <w:t>Şans ve Bahis Oyunu Faaliyetlerini Münhasıran Elektronik Ortamda Gerçekleştiren Yükümlüler</w:t>
      </w:r>
      <w:r w:rsidR="00492CE7">
        <w:rPr>
          <w:rFonts w:cstheme="minorHAnsi"/>
        </w:rPr>
        <w:t>”</w:t>
      </w:r>
      <w:r w:rsidR="00492CE7" w:rsidRPr="00492CE7">
        <w:rPr>
          <w:rFonts w:cstheme="minorHAnsi"/>
        </w:rPr>
        <w:t xml:space="preserve"> </w:t>
      </w:r>
      <w:r w:rsidR="00492CE7">
        <w:rPr>
          <w:rFonts w:cstheme="minorHAnsi"/>
        </w:rPr>
        <w:t xml:space="preserve">başlıklı </w:t>
      </w:r>
      <w:r w:rsidRPr="003F298E">
        <w:rPr>
          <w:rFonts w:cstheme="minorHAnsi"/>
        </w:rPr>
        <w:t>2.2.10</w:t>
      </w:r>
      <w:r w:rsidR="00732335">
        <w:rPr>
          <w:rFonts w:cstheme="minorHAnsi"/>
        </w:rPr>
        <w:t>’</w:t>
      </w:r>
      <w:r w:rsidRPr="003F298E">
        <w:rPr>
          <w:rFonts w:cstheme="minorHAnsi"/>
        </w:rPr>
        <w:t>uncu maddesinin birinci paragrafında yer alan “veya kredi kartı hesabı” ibaresi yürürlükten kaldırılmış ve aynı maddeye birinci paragraftan sonra gelmek üzere aşağıdaki paragraf eklenmiştir.</w:t>
      </w:r>
    </w:p>
    <w:p w14:paraId="41BBD290" w14:textId="77777777" w:rsidR="003F298E" w:rsidRPr="003F298E" w:rsidRDefault="003F298E" w:rsidP="003F298E">
      <w:pPr>
        <w:shd w:val="clear" w:color="auto" w:fill="F2F2F2" w:themeFill="background1" w:themeFillShade="F2"/>
        <w:jc w:val="both"/>
        <w:rPr>
          <w:rFonts w:cstheme="minorHAnsi"/>
          <w:i/>
          <w:iCs/>
          <w:sz w:val="20"/>
          <w:szCs w:val="20"/>
        </w:rPr>
      </w:pPr>
      <w:r w:rsidRPr="003F298E">
        <w:rPr>
          <w:rFonts w:cstheme="minorHAnsi"/>
          <w:i/>
          <w:iCs/>
          <w:sz w:val="20"/>
          <w:szCs w:val="20"/>
        </w:rPr>
        <w:t>“Kimlik bilgilerinin müşteri kabul edilmeden önce doğrulanması amacıyla, kabul edilecek müşterinin kimlik bilgileri ile uyumlu bir banka hesabından, yükümlü tarafından bu amaçla oluşturulmuş bir doğrulama hesabına para transferi yapılması zorunludur. Bu transfer işlemi gerçekleştirilinceye kadar müşteri kabulü yapılamaz ve hiçbir hizmet verilemez.”</w:t>
      </w:r>
    </w:p>
    <w:p w14:paraId="3C7A00E2" w14:textId="2E5A8F64" w:rsidR="00492CE7" w:rsidRDefault="00492CE7" w:rsidP="00BC27A0">
      <w:pPr>
        <w:shd w:val="clear" w:color="auto" w:fill="FFFFFF" w:themeFill="background1"/>
        <w:jc w:val="both"/>
        <w:rPr>
          <w:rFonts w:cstheme="minorHAnsi"/>
        </w:rPr>
      </w:pPr>
      <w:r w:rsidRPr="003F298E">
        <w:rPr>
          <w:rFonts w:cstheme="minorHAnsi"/>
        </w:rPr>
        <w:t>2.2.10 uncu maddesinin birinci paragrafın</w:t>
      </w:r>
      <w:r>
        <w:rPr>
          <w:rFonts w:cstheme="minorHAnsi"/>
        </w:rPr>
        <w:t>ın 4. satırının son hali aşağıdaki gibidir:</w:t>
      </w:r>
    </w:p>
    <w:p w14:paraId="26062506" w14:textId="10ACC6AB" w:rsidR="003F298E" w:rsidRPr="00BC27A0" w:rsidRDefault="00492CE7" w:rsidP="00492CE7">
      <w:pPr>
        <w:shd w:val="clear" w:color="auto" w:fill="F2F2F2" w:themeFill="background1" w:themeFillShade="F2"/>
        <w:jc w:val="both"/>
        <w:rPr>
          <w:rFonts w:cstheme="minorHAnsi"/>
          <w:i/>
          <w:iCs/>
          <w:sz w:val="20"/>
          <w:szCs w:val="20"/>
        </w:rPr>
      </w:pPr>
      <w:r w:rsidRPr="00492CE7">
        <w:rPr>
          <w:rFonts w:cstheme="minorHAnsi"/>
          <w:i/>
          <w:iCs/>
          <w:sz w:val="20"/>
          <w:szCs w:val="20"/>
        </w:rPr>
        <w:t>“-Tüm tahsilat ve ödemelerin, kimlik bilgileri teyit edilerek kabul edilmiş müşterinin, kimlik bilgileri ile uyumlu bir banka hesabı hesabı vasıtasıyla yapılması”</w:t>
      </w:r>
    </w:p>
    <w:p w14:paraId="7782B995" w14:textId="67571E05" w:rsidR="00492CE7" w:rsidRPr="00492CE7" w:rsidRDefault="00492CE7" w:rsidP="00492CE7">
      <w:pPr>
        <w:shd w:val="clear" w:color="auto" w:fill="FFFFFF" w:themeFill="background1"/>
        <w:jc w:val="both"/>
        <w:rPr>
          <w:rFonts w:cstheme="minorHAnsi"/>
        </w:rPr>
      </w:pPr>
      <w:r w:rsidRPr="00492CE7">
        <w:rPr>
          <w:rFonts w:cstheme="minorHAnsi"/>
          <w:b/>
          <w:bCs/>
        </w:rPr>
        <w:t>4.</w:t>
      </w:r>
      <w:r>
        <w:rPr>
          <w:rFonts w:cstheme="minorHAnsi"/>
        </w:rPr>
        <w:t xml:space="preserve"> Tebliğin 4. maddesi ile a</w:t>
      </w:r>
      <w:r w:rsidRPr="00492CE7">
        <w:rPr>
          <w:rFonts w:cstheme="minorHAnsi"/>
        </w:rPr>
        <w:t>n</w:t>
      </w:r>
      <w:r>
        <w:rPr>
          <w:rFonts w:cstheme="minorHAnsi"/>
        </w:rPr>
        <w:t>ılan</w:t>
      </w:r>
      <w:r w:rsidRPr="00492CE7">
        <w:rPr>
          <w:rFonts w:cstheme="minorHAnsi"/>
        </w:rPr>
        <w:t xml:space="preserve"> Tebliğin </w:t>
      </w:r>
      <w:r>
        <w:rPr>
          <w:rFonts w:cstheme="minorHAnsi"/>
        </w:rPr>
        <w:t>“</w:t>
      </w:r>
      <w:r w:rsidRPr="00492CE7">
        <w:rPr>
          <w:rFonts w:cstheme="minorHAnsi"/>
        </w:rPr>
        <w:t>Elektronik Ticaret Aracı Hizmet Sağlayıcılara İlişkin İşlemler</w:t>
      </w:r>
      <w:r>
        <w:rPr>
          <w:rFonts w:cstheme="minorHAnsi"/>
        </w:rPr>
        <w:t>” başlıklı</w:t>
      </w:r>
      <w:r w:rsidRPr="00492CE7">
        <w:rPr>
          <w:rFonts w:cstheme="minorHAnsi"/>
        </w:rPr>
        <w:t xml:space="preserve"> 2.2.12</w:t>
      </w:r>
      <w:r>
        <w:rPr>
          <w:rFonts w:cstheme="minorHAnsi"/>
        </w:rPr>
        <w:t>’</w:t>
      </w:r>
      <w:r w:rsidRPr="00492CE7">
        <w:rPr>
          <w:rFonts w:cstheme="minorHAnsi"/>
        </w:rPr>
        <w:t>nci maddesine aşağıdaki paragraf eklenmiştir.</w:t>
      </w:r>
    </w:p>
    <w:p w14:paraId="6D166E81" w14:textId="77777777" w:rsidR="00492CE7" w:rsidRPr="00492CE7" w:rsidRDefault="00492CE7" w:rsidP="00492CE7">
      <w:pPr>
        <w:shd w:val="clear" w:color="auto" w:fill="F2F2F2" w:themeFill="background1" w:themeFillShade="F2"/>
        <w:jc w:val="both"/>
        <w:rPr>
          <w:rFonts w:cstheme="minorHAnsi"/>
          <w:i/>
          <w:iCs/>
          <w:sz w:val="20"/>
          <w:szCs w:val="20"/>
        </w:rPr>
      </w:pPr>
      <w:r w:rsidRPr="00492CE7">
        <w:rPr>
          <w:rFonts w:cstheme="minorHAnsi"/>
          <w:i/>
          <w:iCs/>
          <w:sz w:val="20"/>
          <w:szCs w:val="20"/>
        </w:rPr>
        <w:t>“Kimlik bilgilerinin müşteri kabul edilmeden önce doğrulanması amacıyla, kabul edilecek müşterinin kimlik bilgileri ile uyumlu bir banka veya kredi kartı hesabından, yükümlü tarafından bu amaçla oluşturulmuş bir doğrulama hesabına para transferi yapılması zorunludur. Bu transfer işlemi gerçekleştirilinceye kadar müşteri kabulü yapılamaz ve hiçbir hizmet verilemez.”</w:t>
      </w:r>
    </w:p>
    <w:p w14:paraId="30367DBC" w14:textId="1940D5CF" w:rsidR="00492CE7" w:rsidRPr="00492CE7" w:rsidRDefault="00492CE7" w:rsidP="00492CE7">
      <w:pPr>
        <w:shd w:val="clear" w:color="auto" w:fill="FFFFFF" w:themeFill="background1"/>
        <w:jc w:val="both"/>
        <w:rPr>
          <w:rFonts w:cstheme="minorHAnsi"/>
        </w:rPr>
      </w:pPr>
      <w:r w:rsidRPr="00492CE7">
        <w:rPr>
          <w:rFonts w:cstheme="minorHAnsi"/>
          <w:b/>
          <w:bCs/>
        </w:rPr>
        <w:t>5.</w:t>
      </w:r>
      <w:r>
        <w:rPr>
          <w:rFonts w:cstheme="minorHAnsi"/>
        </w:rPr>
        <w:t xml:space="preserve"> Tebliğin 5. maddesi ile anılan</w:t>
      </w:r>
      <w:r w:rsidRPr="00492CE7">
        <w:rPr>
          <w:rFonts w:cstheme="minorHAnsi"/>
        </w:rPr>
        <w:t xml:space="preserve"> Tebliğe 2.2.12</w:t>
      </w:r>
      <w:r>
        <w:rPr>
          <w:rFonts w:cstheme="minorHAnsi"/>
        </w:rPr>
        <w:t>’</w:t>
      </w:r>
      <w:r w:rsidRPr="00492CE7">
        <w:rPr>
          <w:rFonts w:cstheme="minorHAnsi"/>
        </w:rPr>
        <w:t>nci maddeden sonra gelmek üzere aşağıdaki madde eklenmiştir.</w:t>
      </w:r>
    </w:p>
    <w:p w14:paraId="35826492" w14:textId="77777777" w:rsidR="00492CE7" w:rsidRPr="00492CE7" w:rsidRDefault="00492CE7" w:rsidP="00492CE7">
      <w:pPr>
        <w:shd w:val="clear" w:color="auto" w:fill="F2F2F2" w:themeFill="background1" w:themeFillShade="F2"/>
        <w:jc w:val="both"/>
        <w:rPr>
          <w:rFonts w:cstheme="minorHAnsi"/>
          <w:i/>
          <w:iCs/>
          <w:sz w:val="20"/>
          <w:szCs w:val="20"/>
        </w:rPr>
      </w:pPr>
      <w:r w:rsidRPr="00492CE7">
        <w:rPr>
          <w:rFonts w:cstheme="minorHAnsi"/>
          <w:i/>
          <w:iCs/>
          <w:sz w:val="20"/>
          <w:szCs w:val="20"/>
        </w:rPr>
        <w:lastRenderedPageBreak/>
        <w:t>“2.2.13. Zorunlu Ödemelerin Yapılması Amacıyla Kamu Kurum ve Kuruluşlarının Talebi Üzerine Açılan Banka Hesaplarında Kimlik Tespiti</w:t>
      </w:r>
    </w:p>
    <w:p w14:paraId="6659159F" w14:textId="77777777" w:rsidR="00492CE7" w:rsidRPr="00492CE7" w:rsidRDefault="00492CE7" w:rsidP="00492CE7">
      <w:pPr>
        <w:shd w:val="clear" w:color="auto" w:fill="F2F2F2" w:themeFill="background1" w:themeFillShade="F2"/>
        <w:jc w:val="both"/>
        <w:rPr>
          <w:rFonts w:cstheme="minorHAnsi"/>
          <w:i/>
          <w:iCs/>
          <w:sz w:val="20"/>
          <w:szCs w:val="20"/>
        </w:rPr>
      </w:pPr>
      <w:r w:rsidRPr="00492CE7">
        <w:rPr>
          <w:rFonts w:cstheme="minorHAnsi"/>
          <w:i/>
          <w:iCs/>
          <w:sz w:val="20"/>
          <w:szCs w:val="20"/>
        </w:rPr>
        <w:t>İlgili mevzuatı uyarınca hak sahiplerine yapılması zorunlu ödemelerin gerçekleştirilmesini teminen, kamu kurum ve kuruluşlarının yazılı talebi üzerine açılan banka hesaplarında, en geç hak sahibine yapılacak ödeme işleminden önce Yönetmeliğin ilgili maddeleri uyarınca kimlik tespitinin yapılması kaydıyla;</w:t>
      </w:r>
    </w:p>
    <w:p w14:paraId="029F53C6" w14:textId="77777777" w:rsidR="00492CE7" w:rsidRPr="00492CE7" w:rsidRDefault="00492CE7" w:rsidP="00492CE7">
      <w:pPr>
        <w:shd w:val="clear" w:color="auto" w:fill="F2F2F2" w:themeFill="background1" w:themeFillShade="F2"/>
        <w:jc w:val="both"/>
        <w:rPr>
          <w:rFonts w:cstheme="minorHAnsi"/>
          <w:i/>
          <w:iCs/>
          <w:sz w:val="20"/>
          <w:szCs w:val="20"/>
        </w:rPr>
      </w:pPr>
      <w:r w:rsidRPr="00492CE7">
        <w:rPr>
          <w:rFonts w:cstheme="minorHAnsi"/>
          <w:i/>
          <w:iCs/>
          <w:sz w:val="20"/>
          <w:szCs w:val="20"/>
        </w:rPr>
        <w:t>- Gerçek kişiler için adı, soyadı, doğum tarihi, uyruğu, Türk vatandaşları için T.C. kimlik numarası, yabancı uyruklular için yabancı kimlik numarası bilgisinin alınması,</w:t>
      </w:r>
    </w:p>
    <w:p w14:paraId="355D92B2" w14:textId="77777777" w:rsidR="00492CE7" w:rsidRPr="00492CE7" w:rsidRDefault="00492CE7" w:rsidP="00492CE7">
      <w:pPr>
        <w:shd w:val="clear" w:color="auto" w:fill="F2F2F2" w:themeFill="background1" w:themeFillShade="F2"/>
        <w:jc w:val="both"/>
        <w:rPr>
          <w:rFonts w:cstheme="minorHAnsi"/>
          <w:i/>
          <w:iCs/>
          <w:sz w:val="20"/>
          <w:szCs w:val="20"/>
        </w:rPr>
      </w:pPr>
      <w:r w:rsidRPr="00492CE7">
        <w:rPr>
          <w:rFonts w:cstheme="minorHAnsi"/>
          <w:i/>
          <w:iCs/>
          <w:sz w:val="20"/>
          <w:szCs w:val="20"/>
        </w:rPr>
        <w:t>- Tüzel kişiler için unvan, ticaret sicil numarası, vergi kimlik numarası bilgisinin alınması,</w:t>
      </w:r>
    </w:p>
    <w:p w14:paraId="61D1803F" w14:textId="77777777" w:rsidR="00492CE7" w:rsidRPr="00492CE7" w:rsidRDefault="00492CE7" w:rsidP="00492CE7">
      <w:pPr>
        <w:shd w:val="clear" w:color="auto" w:fill="F2F2F2" w:themeFill="background1" w:themeFillShade="F2"/>
        <w:jc w:val="both"/>
        <w:rPr>
          <w:rFonts w:cstheme="minorHAnsi"/>
          <w:i/>
          <w:iCs/>
          <w:sz w:val="20"/>
          <w:szCs w:val="20"/>
        </w:rPr>
      </w:pPr>
      <w:r w:rsidRPr="00492CE7">
        <w:rPr>
          <w:rFonts w:cstheme="minorHAnsi"/>
          <w:i/>
          <w:iCs/>
          <w:sz w:val="20"/>
          <w:szCs w:val="20"/>
        </w:rPr>
        <w:t>- Kimliğe ilişkin bilgilerin İçişleri Bakanlığı Nüfus ve Vatandaşlık İşleri Genel Müdürlüğü veri tabanı kullanılarak sorgulanması yoluyla teyit edilmesi,</w:t>
      </w:r>
    </w:p>
    <w:p w14:paraId="3D31C99A" w14:textId="37099999" w:rsidR="00492CE7" w:rsidRPr="00492CE7" w:rsidRDefault="00492CE7" w:rsidP="00492CE7">
      <w:pPr>
        <w:shd w:val="clear" w:color="auto" w:fill="F2F2F2" w:themeFill="background1" w:themeFillShade="F2"/>
        <w:jc w:val="both"/>
        <w:rPr>
          <w:rFonts w:cstheme="minorHAnsi"/>
          <w:i/>
          <w:iCs/>
          <w:sz w:val="20"/>
          <w:szCs w:val="20"/>
        </w:rPr>
      </w:pPr>
      <w:proofErr w:type="gramStart"/>
      <w:r w:rsidRPr="00492CE7">
        <w:rPr>
          <w:rFonts w:cstheme="minorHAnsi"/>
          <w:i/>
          <w:iCs/>
          <w:sz w:val="20"/>
          <w:szCs w:val="20"/>
        </w:rPr>
        <w:t>koşuluyla</w:t>
      </w:r>
      <w:proofErr w:type="gramEnd"/>
      <w:r w:rsidRPr="00492CE7">
        <w:rPr>
          <w:rFonts w:cstheme="minorHAnsi"/>
          <w:i/>
          <w:iCs/>
          <w:sz w:val="20"/>
          <w:szCs w:val="20"/>
        </w:rPr>
        <w:t>, müşterinin kimlik bilgilerinin Yönetmeliğin 6</w:t>
      </w:r>
      <w:r>
        <w:rPr>
          <w:rFonts w:cstheme="minorHAnsi"/>
          <w:i/>
          <w:iCs/>
          <w:sz w:val="20"/>
          <w:szCs w:val="20"/>
        </w:rPr>
        <w:t>’</w:t>
      </w:r>
      <w:r w:rsidRPr="00492CE7">
        <w:rPr>
          <w:rFonts w:cstheme="minorHAnsi"/>
          <w:i/>
          <w:iCs/>
          <w:sz w:val="20"/>
          <w:szCs w:val="20"/>
        </w:rPr>
        <w:t>ncı maddesindeki usul çerçevesinde teyidi ile imza örneği alınması zorunlu değildir.</w:t>
      </w:r>
    </w:p>
    <w:p w14:paraId="3A0FF52F" w14:textId="092CD657" w:rsidR="00492CE7" w:rsidRPr="00492CE7" w:rsidRDefault="00492CE7" w:rsidP="00492CE7">
      <w:pPr>
        <w:shd w:val="clear" w:color="auto" w:fill="F2F2F2" w:themeFill="background1" w:themeFillShade="F2"/>
        <w:jc w:val="both"/>
        <w:rPr>
          <w:rFonts w:cstheme="minorHAnsi"/>
          <w:i/>
          <w:iCs/>
          <w:sz w:val="20"/>
          <w:szCs w:val="20"/>
        </w:rPr>
      </w:pPr>
      <w:r w:rsidRPr="00492CE7">
        <w:rPr>
          <w:rFonts w:cstheme="minorHAnsi"/>
          <w:i/>
          <w:iCs/>
          <w:sz w:val="20"/>
          <w:szCs w:val="20"/>
        </w:rPr>
        <w:t>Bu maddedeki işlemlerle ilgili olarak Yönetmeliğin 17</w:t>
      </w:r>
      <w:r>
        <w:rPr>
          <w:rFonts w:cstheme="minorHAnsi"/>
          <w:i/>
          <w:iCs/>
          <w:sz w:val="20"/>
          <w:szCs w:val="20"/>
        </w:rPr>
        <w:t>’</w:t>
      </w:r>
      <w:r w:rsidRPr="00492CE7">
        <w:rPr>
          <w:rFonts w:cstheme="minorHAnsi"/>
          <w:i/>
          <w:iCs/>
          <w:sz w:val="20"/>
          <w:szCs w:val="20"/>
        </w:rPr>
        <w:t>nci maddesindeki yükümlülükler ile 17/A maddesindeki teyide ilişkin yükümlülükler uygulanmayabilir. Ayrıca birinci paragraf kapsamındaki işlemlerle ilgili olarak Yönetmeliğin 19</w:t>
      </w:r>
      <w:r>
        <w:rPr>
          <w:rFonts w:cstheme="minorHAnsi"/>
          <w:i/>
          <w:iCs/>
          <w:sz w:val="20"/>
          <w:szCs w:val="20"/>
        </w:rPr>
        <w:t>’</w:t>
      </w:r>
      <w:r w:rsidRPr="00492CE7">
        <w:rPr>
          <w:rFonts w:cstheme="minorHAnsi"/>
          <w:i/>
          <w:iCs/>
          <w:sz w:val="20"/>
          <w:szCs w:val="20"/>
        </w:rPr>
        <w:t>uncu maddesi uyarınca müşterinin durumunun sürekli iş ilişkisi kapsamında izlenmesi ve müşteri hakkındaki bilgi, belge ve kayıtların güncellenmesi sıklığı azaltılabilir.</w:t>
      </w:r>
    </w:p>
    <w:p w14:paraId="113DD68E" w14:textId="77777777" w:rsidR="00492CE7" w:rsidRPr="00492CE7" w:rsidRDefault="00492CE7" w:rsidP="00492CE7">
      <w:pPr>
        <w:shd w:val="clear" w:color="auto" w:fill="F2F2F2" w:themeFill="background1" w:themeFillShade="F2"/>
        <w:jc w:val="both"/>
        <w:rPr>
          <w:rFonts w:cstheme="minorHAnsi"/>
          <w:i/>
          <w:iCs/>
          <w:sz w:val="20"/>
          <w:szCs w:val="20"/>
        </w:rPr>
      </w:pPr>
      <w:r w:rsidRPr="00492CE7">
        <w:rPr>
          <w:rFonts w:cstheme="minorHAnsi"/>
          <w:i/>
          <w:iCs/>
          <w:sz w:val="20"/>
          <w:szCs w:val="20"/>
        </w:rPr>
        <w:t>Bu madde kapsamında açılacak hesaplarda Yönetmeliğin ilgili maddeleri uyarınca kimlik tespiti yapılıncaya kadar hesabın kullanılmasına izin verilmez.”</w:t>
      </w:r>
    </w:p>
    <w:p w14:paraId="7EF3A9A7" w14:textId="77777777" w:rsidR="008A1CCA" w:rsidRPr="008A1CCA" w:rsidRDefault="008A1CCA" w:rsidP="008A1CCA">
      <w:pPr>
        <w:shd w:val="clear" w:color="auto" w:fill="FFFFFF" w:themeFill="background1"/>
        <w:jc w:val="both"/>
        <w:rPr>
          <w:rFonts w:cstheme="minorHAnsi"/>
        </w:rPr>
      </w:pPr>
      <w:r w:rsidRPr="008A1CCA">
        <w:rPr>
          <w:rFonts w:cstheme="minorHAnsi"/>
        </w:rPr>
        <w:t>Tebliğin;</w:t>
      </w:r>
    </w:p>
    <w:p w14:paraId="64C073F6" w14:textId="0B45CDC8" w:rsidR="008A1CCA" w:rsidRPr="008A1CCA" w:rsidRDefault="008A1CCA" w:rsidP="008A1CCA">
      <w:pPr>
        <w:shd w:val="clear" w:color="auto" w:fill="FFFFFF" w:themeFill="background1"/>
        <w:jc w:val="both"/>
        <w:rPr>
          <w:rFonts w:cstheme="minorHAnsi"/>
        </w:rPr>
      </w:pPr>
      <w:r w:rsidRPr="008A1CCA">
        <w:rPr>
          <w:rFonts w:cstheme="minorHAnsi"/>
        </w:rPr>
        <w:t>a) 3</w:t>
      </w:r>
      <w:r>
        <w:rPr>
          <w:rFonts w:cstheme="minorHAnsi"/>
        </w:rPr>
        <w:t>’</w:t>
      </w:r>
      <w:r w:rsidRPr="008A1CCA">
        <w:rPr>
          <w:rFonts w:cstheme="minorHAnsi"/>
        </w:rPr>
        <w:t>üncü maddesiyle 2.2.10 uncu maddeye eklenen paragraf ve 4</w:t>
      </w:r>
      <w:r>
        <w:rPr>
          <w:rFonts w:cstheme="minorHAnsi"/>
        </w:rPr>
        <w:t>’</w:t>
      </w:r>
      <w:r w:rsidRPr="008A1CCA">
        <w:rPr>
          <w:rFonts w:cstheme="minorHAnsi"/>
        </w:rPr>
        <w:t>üncü maddesi 1/2/2026 tarihinde,</w:t>
      </w:r>
    </w:p>
    <w:p w14:paraId="462D8DCB" w14:textId="77777777" w:rsidR="008A1CCA" w:rsidRPr="008A1CCA" w:rsidRDefault="008A1CCA" w:rsidP="008A1CCA">
      <w:pPr>
        <w:shd w:val="clear" w:color="auto" w:fill="FFFFFF" w:themeFill="background1"/>
        <w:jc w:val="both"/>
        <w:rPr>
          <w:rFonts w:cstheme="minorHAnsi"/>
        </w:rPr>
      </w:pPr>
      <w:r w:rsidRPr="008A1CCA">
        <w:rPr>
          <w:rFonts w:cstheme="minorHAnsi"/>
        </w:rPr>
        <w:t>b) Diğer hükümleri yayımı tarihinde,</w:t>
      </w:r>
    </w:p>
    <w:p w14:paraId="5CA56E06" w14:textId="77777777" w:rsidR="008A1CCA" w:rsidRDefault="008A1CCA" w:rsidP="008A1CCA">
      <w:pPr>
        <w:shd w:val="clear" w:color="auto" w:fill="FFFFFF" w:themeFill="background1"/>
        <w:jc w:val="both"/>
        <w:rPr>
          <w:rFonts w:cstheme="minorHAnsi"/>
        </w:rPr>
      </w:pPr>
      <w:proofErr w:type="gramStart"/>
      <w:r w:rsidRPr="008A1CCA">
        <w:rPr>
          <w:rFonts w:cstheme="minorHAnsi"/>
        </w:rPr>
        <w:t>yürürlüğe</w:t>
      </w:r>
      <w:proofErr w:type="gramEnd"/>
      <w:r w:rsidRPr="008A1CCA">
        <w:rPr>
          <w:rFonts w:cstheme="minorHAnsi"/>
        </w:rPr>
        <w:t xml:space="preserve"> girer.</w:t>
      </w:r>
    </w:p>
    <w:p w14:paraId="22E58AAD" w14:textId="77777777" w:rsidR="008A1CCA" w:rsidRPr="008A1CCA" w:rsidRDefault="008A1CCA" w:rsidP="008A1CCA">
      <w:pPr>
        <w:shd w:val="clear" w:color="auto" w:fill="FFFFFF" w:themeFill="background1"/>
        <w:jc w:val="both"/>
        <w:rPr>
          <w:rFonts w:cstheme="minorHAnsi"/>
        </w:rPr>
      </w:pPr>
    </w:p>
    <w:p w14:paraId="0C017E76" w14:textId="04D7C03C" w:rsidR="00BC27A0" w:rsidRPr="00982D0B" w:rsidRDefault="00982D0B" w:rsidP="00421AB4">
      <w:pPr>
        <w:shd w:val="clear" w:color="auto" w:fill="FFFFFF" w:themeFill="background1"/>
        <w:jc w:val="both"/>
        <w:rPr>
          <w:rFonts w:cstheme="minorHAnsi"/>
          <w:b/>
          <w:bCs/>
          <w:sz w:val="26"/>
          <w:szCs w:val="26"/>
        </w:rPr>
      </w:pPr>
      <w:r w:rsidRPr="00982D0B">
        <w:rPr>
          <w:rFonts w:cstheme="minorHAnsi"/>
          <w:b/>
          <w:bCs/>
          <w:sz w:val="26"/>
          <w:szCs w:val="26"/>
        </w:rPr>
        <w:t>III- YEREL ASGARİ TAMAMLAYICI KURUMLAR VERGİSİ BEYANNAMELERİNİN VERİLME SÜRELERİ İLE BU BEYANNAMELER ÜZERİNE TAHAKKUK EDEN VERGİLERİN ÖDEME SÜRELERİ 28 OCAK 2026 TARİHİNE UZATILMIŞTIR</w:t>
      </w:r>
    </w:p>
    <w:p w14:paraId="5BBDCB8A" w14:textId="7471CBFE" w:rsidR="00421AB4" w:rsidRDefault="00421AB4" w:rsidP="00421AB4">
      <w:pPr>
        <w:shd w:val="clear" w:color="auto" w:fill="FFFFFF" w:themeFill="background1"/>
        <w:jc w:val="both"/>
        <w:rPr>
          <w:rFonts w:cstheme="minorHAnsi"/>
        </w:rPr>
      </w:pPr>
      <w:r w:rsidRPr="00982D0B">
        <w:rPr>
          <w:rFonts w:cstheme="minorHAnsi"/>
        </w:rPr>
        <w:t> </w:t>
      </w:r>
      <w:r w:rsidR="00982D0B" w:rsidRPr="00982D0B">
        <w:rPr>
          <w:rFonts w:cstheme="minorHAnsi"/>
        </w:rPr>
        <w:t>13 Ocak 2026 tarihli ve VUK-195/2026-1 numaralı Vergi Usul Kanunu Sirküleri</w:t>
      </w:r>
      <w:r w:rsidR="00FE7CF0">
        <w:rPr>
          <w:rFonts w:cstheme="minorHAnsi"/>
        </w:rPr>
        <w:t>-</w:t>
      </w:r>
      <w:r w:rsidR="00982D0B" w:rsidRPr="00982D0B">
        <w:rPr>
          <w:rFonts w:cstheme="minorHAnsi"/>
        </w:rPr>
        <w:t xml:space="preserve">195 </w:t>
      </w:r>
      <w:r w:rsidR="00982D0B">
        <w:rPr>
          <w:rFonts w:cstheme="minorHAnsi"/>
        </w:rPr>
        <w:t>Gelir İdaresi Başkanlığı’nın web sitesinde yayımlanmıştır. Söz konusu Sirkülerdeki açıklamalar aynen aşağıdaki gibidir:</w:t>
      </w:r>
    </w:p>
    <w:p w14:paraId="6F88E893" w14:textId="77777777" w:rsidR="00982D0B" w:rsidRPr="00982D0B" w:rsidRDefault="00982D0B" w:rsidP="00982D0B">
      <w:pPr>
        <w:shd w:val="clear" w:color="auto" w:fill="F2F2F2" w:themeFill="background1" w:themeFillShade="F2"/>
        <w:jc w:val="both"/>
        <w:rPr>
          <w:rFonts w:cstheme="minorHAnsi"/>
          <w:i/>
          <w:iCs/>
          <w:sz w:val="20"/>
          <w:szCs w:val="20"/>
        </w:rPr>
      </w:pPr>
      <w:r w:rsidRPr="00982D0B">
        <w:rPr>
          <w:rFonts w:cstheme="minorHAnsi"/>
          <w:i/>
          <w:iCs/>
          <w:sz w:val="20"/>
          <w:szCs w:val="20"/>
        </w:rPr>
        <w:t>“</w:t>
      </w:r>
      <w:r w:rsidRPr="00982D0B">
        <w:rPr>
          <w:rFonts w:cstheme="minorHAnsi"/>
          <w:b/>
          <w:bCs/>
          <w:i/>
          <w:iCs/>
          <w:sz w:val="20"/>
          <w:szCs w:val="20"/>
        </w:rPr>
        <w:t>1. Giriş</w:t>
      </w:r>
    </w:p>
    <w:p w14:paraId="724F33E1" w14:textId="391DC836" w:rsidR="00982D0B" w:rsidRPr="00982D0B" w:rsidRDefault="00982D0B" w:rsidP="00982D0B">
      <w:pPr>
        <w:shd w:val="clear" w:color="auto" w:fill="F2F2F2" w:themeFill="background1" w:themeFillShade="F2"/>
        <w:jc w:val="both"/>
        <w:rPr>
          <w:rFonts w:cstheme="minorHAnsi"/>
          <w:i/>
          <w:iCs/>
          <w:sz w:val="20"/>
          <w:szCs w:val="20"/>
        </w:rPr>
      </w:pPr>
      <w:r w:rsidRPr="00982D0B">
        <w:rPr>
          <w:rFonts w:cstheme="minorHAnsi"/>
          <w:i/>
          <w:iCs/>
          <w:sz w:val="20"/>
          <w:szCs w:val="20"/>
        </w:rPr>
        <w:t>Bakanlığımıza iletilen talepler nedeniyle, 213 sayılı Vergi Usul Kanununun mükerrer 28</w:t>
      </w:r>
      <w:r>
        <w:rPr>
          <w:rFonts w:cstheme="minorHAnsi"/>
          <w:i/>
          <w:iCs/>
          <w:sz w:val="20"/>
          <w:szCs w:val="20"/>
        </w:rPr>
        <w:t>’</w:t>
      </w:r>
      <w:r w:rsidRPr="00982D0B">
        <w:rPr>
          <w:rFonts w:cstheme="minorHAnsi"/>
          <w:i/>
          <w:iCs/>
          <w:sz w:val="20"/>
          <w:szCs w:val="20"/>
        </w:rPr>
        <w:t>inci maddesindeki yetkiye dayanılarak 15 Ocak 2026 günü sonuna kadar verilmesi gereken 2024 hesap dönemine ilişkin Yerel Asgari Tamamlayıcı Kurumlar Vergisi Beyannamelerinin verilme süreleri ile bu beyannameler üzerine tahakkuk eden vergilerin ödeme sürelerinin uzatılması bu Sirkülerin konusunu oluşturmaktadır.</w:t>
      </w:r>
    </w:p>
    <w:p w14:paraId="63862EE7" w14:textId="77777777" w:rsidR="00982D0B" w:rsidRPr="00982D0B" w:rsidRDefault="00982D0B" w:rsidP="00982D0B">
      <w:pPr>
        <w:shd w:val="clear" w:color="auto" w:fill="F2F2F2" w:themeFill="background1" w:themeFillShade="F2"/>
        <w:jc w:val="both"/>
        <w:rPr>
          <w:rFonts w:cstheme="minorHAnsi"/>
          <w:i/>
          <w:iCs/>
          <w:sz w:val="20"/>
          <w:szCs w:val="20"/>
        </w:rPr>
      </w:pPr>
      <w:r w:rsidRPr="00982D0B">
        <w:rPr>
          <w:rFonts w:cstheme="minorHAnsi"/>
          <w:b/>
          <w:bCs/>
          <w:i/>
          <w:iCs/>
          <w:sz w:val="20"/>
          <w:szCs w:val="20"/>
        </w:rPr>
        <w:t>2. Yerel Asgari Tamamlayıcı Kurumlar Vergisi Beyannamelerinin Verilme ve Ödeme Sürelerinin Uzatılması</w:t>
      </w:r>
    </w:p>
    <w:p w14:paraId="2DC250FA" w14:textId="77777777" w:rsidR="00982D0B" w:rsidRPr="00982D0B" w:rsidRDefault="00982D0B" w:rsidP="00982D0B">
      <w:pPr>
        <w:shd w:val="clear" w:color="auto" w:fill="F2F2F2" w:themeFill="background1" w:themeFillShade="F2"/>
        <w:jc w:val="both"/>
        <w:rPr>
          <w:rFonts w:cstheme="minorHAnsi"/>
          <w:i/>
          <w:iCs/>
          <w:sz w:val="20"/>
          <w:szCs w:val="20"/>
        </w:rPr>
      </w:pPr>
      <w:r w:rsidRPr="00982D0B">
        <w:rPr>
          <w:rFonts w:cstheme="minorHAnsi"/>
          <w:i/>
          <w:iCs/>
          <w:sz w:val="20"/>
          <w:szCs w:val="20"/>
        </w:rPr>
        <w:lastRenderedPageBreak/>
        <w:t>31 Aralık 2025 günü sonuna kadar verilmesi gereken 2024 hesap dönemine ilişkin Yerel Asgari Tamamlayıcı Kurumlar Vergisi Beyannamelerinin verilme ve ödeme süreleri 1/12/2025 tarihli ve VUK-193/2025-14 sayılı Sirküleri ile 15 Ocak 2026 Perşembe günü sonuna kadar uzatılmıştı.</w:t>
      </w:r>
    </w:p>
    <w:p w14:paraId="12A9405E" w14:textId="78DD2219" w:rsidR="00982D0B" w:rsidRPr="00982D0B" w:rsidRDefault="00982D0B" w:rsidP="00982D0B">
      <w:pPr>
        <w:shd w:val="clear" w:color="auto" w:fill="F2F2F2" w:themeFill="background1" w:themeFillShade="F2"/>
        <w:jc w:val="both"/>
        <w:rPr>
          <w:rFonts w:cstheme="minorHAnsi"/>
          <w:i/>
          <w:iCs/>
          <w:sz w:val="20"/>
          <w:szCs w:val="20"/>
        </w:rPr>
      </w:pPr>
      <w:r w:rsidRPr="00982D0B">
        <w:rPr>
          <w:rFonts w:cstheme="minorHAnsi"/>
          <w:b/>
          <w:bCs/>
          <w:i/>
          <w:iCs/>
          <w:sz w:val="20"/>
          <w:szCs w:val="20"/>
        </w:rPr>
        <w:t>15 Ocak 2026 Perşembe günü sonuna kadar verilmesi gereken Yerel Asgari Tamamlayıcı Kurumlar Vergisi Beyannamelerinin verilme süreleri ile bu beyannameler üzerine tahakkuk eden vergilerin ödeme süreleri 28 Ocak 2026 Çarşamba günü sonuna kadar uzatılmıştır.</w:t>
      </w:r>
      <w:r w:rsidRPr="00982D0B">
        <w:rPr>
          <w:rFonts w:cstheme="minorHAnsi"/>
          <w:i/>
          <w:iCs/>
          <w:sz w:val="20"/>
          <w:szCs w:val="20"/>
        </w:rPr>
        <w:t>”</w:t>
      </w:r>
    </w:p>
    <w:p w14:paraId="62D4579E" w14:textId="4BB8EFB0" w:rsidR="00982D0B" w:rsidRPr="00982D0B" w:rsidRDefault="00982D0B" w:rsidP="00421AB4">
      <w:pPr>
        <w:shd w:val="clear" w:color="auto" w:fill="FFFFFF" w:themeFill="background1"/>
        <w:jc w:val="both"/>
        <w:rPr>
          <w:rFonts w:cstheme="minorHAnsi"/>
        </w:rPr>
      </w:pPr>
    </w:p>
    <w:sectPr w:rsidR="00982D0B" w:rsidRPr="00982D0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2A0A" w14:textId="77777777" w:rsidR="003D081F" w:rsidRDefault="003D081F" w:rsidP="007003D0">
      <w:pPr>
        <w:spacing w:after="0" w:line="240" w:lineRule="auto"/>
      </w:pPr>
      <w:r>
        <w:separator/>
      </w:r>
    </w:p>
  </w:endnote>
  <w:endnote w:type="continuationSeparator" w:id="0">
    <w:p w14:paraId="3EB0387D" w14:textId="77777777" w:rsidR="003D081F" w:rsidRDefault="003D081F"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0ED9" w14:textId="77777777" w:rsidR="00B72078" w:rsidRDefault="00B7207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557663"/>
      <w:docPartObj>
        <w:docPartGallery w:val="Page Numbers (Bottom of Page)"/>
        <w:docPartUnique/>
      </w:docPartObj>
    </w:sdtPr>
    <w:sdtEndPr/>
    <w:sdtContent>
      <w:p w14:paraId="11086FEF" w14:textId="1AF94A1A" w:rsidR="00353D7A" w:rsidRDefault="00353D7A">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BF5A" w14:textId="77777777" w:rsidR="00B72078" w:rsidRDefault="00B720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9D3D8" w14:textId="77777777" w:rsidR="003D081F" w:rsidRDefault="003D081F" w:rsidP="007003D0">
      <w:pPr>
        <w:spacing w:after="0" w:line="240" w:lineRule="auto"/>
      </w:pPr>
      <w:r>
        <w:separator/>
      </w:r>
    </w:p>
  </w:footnote>
  <w:footnote w:type="continuationSeparator" w:id="0">
    <w:p w14:paraId="16AA5978" w14:textId="77777777" w:rsidR="003D081F" w:rsidRDefault="003D081F"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D788" w14:textId="77777777" w:rsidR="00B72078" w:rsidRDefault="00B7207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2DE2E304" w14:textId="47E56C38" w:rsidR="00B72078" w:rsidRDefault="00B72078">
    <w:pPr>
      <w:pStyle w:val="stBilgi"/>
    </w:pPr>
    <w:r w:rsidRPr="00F22779">
      <w:rPr>
        <w:b/>
        <w:bCs/>
      </w:rPr>
      <w:object w:dxaOrig="9072" w:dyaOrig="1927" w14:anchorId="6ACCA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pt;height:97.5pt">
          <v:imagedata r:id="rId1" o:title=""/>
        </v:shape>
        <o:OLEObject Type="Embed" ProgID="Word.Document.12" ShapeID="_x0000_i1025" DrawAspect="Content" ObjectID="_1829826603"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2A0D" w14:textId="77777777" w:rsidR="00B72078" w:rsidRDefault="00B7207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03B7B"/>
    <w:rsid w:val="00014E9C"/>
    <w:rsid w:val="00045BC8"/>
    <w:rsid w:val="0009737A"/>
    <w:rsid w:val="000C5B9B"/>
    <w:rsid w:val="0012570F"/>
    <w:rsid w:val="00132AC8"/>
    <w:rsid w:val="0013498C"/>
    <w:rsid w:val="0015010B"/>
    <w:rsid w:val="001634AC"/>
    <w:rsid w:val="001A0AA6"/>
    <w:rsid w:val="001A5921"/>
    <w:rsid w:val="001C547C"/>
    <w:rsid w:val="001C61D3"/>
    <w:rsid w:val="001D4559"/>
    <w:rsid w:val="00213727"/>
    <w:rsid w:val="00214B7E"/>
    <w:rsid w:val="0022777D"/>
    <w:rsid w:val="00263869"/>
    <w:rsid w:val="0029694B"/>
    <w:rsid w:val="002A1B76"/>
    <w:rsid w:val="002A3F6C"/>
    <w:rsid w:val="002B0E91"/>
    <w:rsid w:val="002B762C"/>
    <w:rsid w:val="002C35D3"/>
    <w:rsid w:val="002D34D6"/>
    <w:rsid w:val="00303EDC"/>
    <w:rsid w:val="0030464E"/>
    <w:rsid w:val="0030595C"/>
    <w:rsid w:val="00342AB1"/>
    <w:rsid w:val="00353D7A"/>
    <w:rsid w:val="003867F1"/>
    <w:rsid w:val="003A7505"/>
    <w:rsid w:val="003D081F"/>
    <w:rsid w:val="003F0949"/>
    <w:rsid w:val="003F298E"/>
    <w:rsid w:val="004162E5"/>
    <w:rsid w:val="00420441"/>
    <w:rsid w:val="00421AB4"/>
    <w:rsid w:val="00425FA8"/>
    <w:rsid w:val="00426C96"/>
    <w:rsid w:val="00444503"/>
    <w:rsid w:val="00474CDF"/>
    <w:rsid w:val="00492CE7"/>
    <w:rsid w:val="00494F05"/>
    <w:rsid w:val="00495317"/>
    <w:rsid w:val="00495F8D"/>
    <w:rsid w:val="004B67FD"/>
    <w:rsid w:val="004C15BD"/>
    <w:rsid w:val="00505303"/>
    <w:rsid w:val="00515BE9"/>
    <w:rsid w:val="0052148C"/>
    <w:rsid w:val="00543F90"/>
    <w:rsid w:val="00557D5A"/>
    <w:rsid w:val="0056375C"/>
    <w:rsid w:val="00583270"/>
    <w:rsid w:val="005C4369"/>
    <w:rsid w:val="005C4AC8"/>
    <w:rsid w:val="005E3112"/>
    <w:rsid w:val="005E3EB7"/>
    <w:rsid w:val="005E4AD6"/>
    <w:rsid w:val="0061346C"/>
    <w:rsid w:val="006301D2"/>
    <w:rsid w:val="00643AB9"/>
    <w:rsid w:val="00665873"/>
    <w:rsid w:val="00667D75"/>
    <w:rsid w:val="00691FAA"/>
    <w:rsid w:val="006927D4"/>
    <w:rsid w:val="006A047E"/>
    <w:rsid w:val="006A62A7"/>
    <w:rsid w:val="006A6734"/>
    <w:rsid w:val="006D6C76"/>
    <w:rsid w:val="007003D0"/>
    <w:rsid w:val="00732335"/>
    <w:rsid w:val="0073319E"/>
    <w:rsid w:val="007407C6"/>
    <w:rsid w:val="007536B4"/>
    <w:rsid w:val="007665E9"/>
    <w:rsid w:val="007805B7"/>
    <w:rsid w:val="0078325B"/>
    <w:rsid w:val="00794D3A"/>
    <w:rsid w:val="007A7126"/>
    <w:rsid w:val="007B3614"/>
    <w:rsid w:val="007B39B0"/>
    <w:rsid w:val="007D0311"/>
    <w:rsid w:val="00804DE0"/>
    <w:rsid w:val="0080750F"/>
    <w:rsid w:val="0081240B"/>
    <w:rsid w:val="00823EC2"/>
    <w:rsid w:val="00830A20"/>
    <w:rsid w:val="0085407E"/>
    <w:rsid w:val="008613D5"/>
    <w:rsid w:val="008812B7"/>
    <w:rsid w:val="008A1CCA"/>
    <w:rsid w:val="008B7880"/>
    <w:rsid w:val="008D3C1B"/>
    <w:rsid w:val="008D4CC4"/>
    <w:rsid w:val="008F06CC"/>
    <w:rsid w:val="008F795C"/>
    <w:rsid w:val="009310E9"/>
    <w:rsid w:val="009409B3"/>
    <w:rsid w:val="00971946"/>
    <w:rsid w:val="00982D0B"/>
    <w:rsid w:val="009B0041"/>
    <w:rsid w:val="009B6807"/>
    <w:rsid w:val="009C2E6E"/>
    <w:rsid w:val="009E4AE3"/>
    <w:rsid w:val="009F5E6A"/>
    <w:rsid w:val="00A200BA"/>
    <w:rsid w:val="00A41F8F"/>
    <w:rsid w:val="00A54304"/>
    <w:rsid w:val="00A75F35"/>
    <w:rsid w:val="00A86D20"/>
    <w:rsid w:val="00A962D3"/>
    <w:rsid w:val="00AC084A"/>
    <w:rsid w:val="00AC1960"/>
    <w:rsid w:val="00AD2A55"/>
    <w:rsid w:val="00AE5B03"/>
    <w:rsid w:val="00B13552"/>
    <w:rsid w:val="00B15870"/>
    <w:rsid w:val="00B510BA"/>
    <w:rsid w:val="00B559CB"/>
    <w:rsid w:val="00B7114A"/>
    <w:rsid w:val="00B72078"/>
    <w:rsid w:val="00BB3F8E"/>
    <w:rsid w:val="00BC27A0"/>
    <w:rsid w:val="00BE26A6"/>
    <w:rsid w:val="00BF6A93"/>
    <w:rsid w:val="00C03A92"/>
    <w:rsid w:val="00C1105C"/>
    <w:rsid w:val="00C17774"/>
    <w:rsid w:val="00C23507"/>
    <w:rsid w:val="00C352D2"/>
    <w:rsid w:val="00C604ED"/>
    <w:rsid w:val="00C70FDD"/>
    <w:rsid w:val="00C81E5F"/>
    <w:rsid w:val="00C84DA7"/>
    <w:rsid w:val="00CB70E5"/>
    <w:rsid w:val="00CD137F"/>
    <w:rsid w:val="00CD45F0"/>
    <w:rsid w:val="00CF640B"/>
    <w:rsid w:val="00D17D51"/>
    <w:rsid w:val="00D50329"/>
    <w:rsid w:val="00D5205A"/>
    <w:rsid w:val="00D63063"/>
    <w:rsid w:val="00D72F8B"/>
    <w:rsid w:val="00D95B71"/>
    <w:rsid w:val="00DA456F"/>
    <w:rsid w:val="00DE6267"/>
    <w:rsid w:val="00E46084"/>
    <w:rsid w:val="00E74976"/>
    <w:rsid w:val="00E8150F"/>
    <w:rsid w:val="00EB0CFF"/>
    <w:rsid w:val="00EB696B"/>
    <w:rsid w:val="00EE433F"/>
    <w:rsid w:val="00EF5843"/>
    <w:rsid w:val="00F128E2"/>
    <w:rsid w:val="00F261A5"/>
    <w:rsid w:val="00F349BB"/>
    <w:rsid w:val="00F44BE8"/>
    <w:rsid w:val="00FC1BE4"/>
    <w:rsid w:val="00FD1FA5"/>
    <w:rsid w:val="00FE7C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977E"/>
  <w15:chartTrackingRefBased/>
  <w15:docId w15:val="{B4AEFBF3-8FF6-445C-863C-C547D7F5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 w:type="paragraph" w:styleId="NormalWeb">
    <w:name w:val="Normal (Web)"/>
    <w:basedOn w:val="Normal"/>
    <w:uiPriority w:val="99"/>
    <w:semiHidden/>
    <w:unhideWhenUsed/>
    <w:rsid w:val="008F0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omaliye.com/2002/06/12/ozel-tuketim-vergisi-kanunu-otv-4760-sayili-kanu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alomaliye.com/2009/10/07/4458-sayili-gumruk-kanununun-bazi-maddelerinin-uygulanmasi-hakkinda-karar-bkk-200915481/"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lomaliye.com/2009/10/07/4458-sayili-gumruk-kanununun-bazi-maddelerinin-uygulanmasi-hakkinda-karar-bkk-200915481/"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1236</TotalTime>
  <Pages>6</Pages>
  <Words>1957</Words>
  <Characters>12742</Characters>
  <Application>Microsoft Office Word</Application>
  <DocSecurity>0</DocSecurity>
  <Lines>353</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92</cp:revision>
  <dcterms:created xsi:type="dcterms:W3CDTF">2025-12-19T13:27:00Z</dcterms:created>
  <dcterms:modified xsi:type="dcterms:W3CDTF">2026-01-13T13:23:00Z</dcterms:modified>
</cp:coreProperties>
</file>