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A795" w14:textId="2F0BAE65" w:rsidR="00F44BE8" w:rsidRDefault="00E42496" w:rsidP="00F44BE8">
      <w:pPr>
        <w:spacing w:after="0" w:line="240" w:lineRule="auto"/>
        <w:jc w:val="center"/>
        <w:rPr>
          <w:b/>
          <w:bCs/>
          <w:sz w:val="32"/>
          <w:szCs w:val="32"/>
        </w:rPr>
      </w:pPr>
      <w:r>
        <w:rPr>
          <w:b/>
          <w:bCs/>
          <w:sz w:val="32"/>
          <w:szCs w:val="32"/>
        </w:rPr>
        <w:t>VERGİ MEVZUATINDAKİ GELİŞMELER</w:t>
      </w:r>
      <w:r w:rsidR="00672D59" w:rsidRPr="00FC7ED4">
        <w:rPr>
          <w:b/>
          <w:bCs/>
          <w:sz w:val="32"/>
          <w:szCs w:val="32"/>
        </w:rPr>
        <w:t xml:space="preserve"> 202</w:t>
      </w:r>
      <w:r w:rsidR="00672D59">
        <w:rPr>
          <w:b/>
          <w:bCs/>
          <w:sz w:val="32"/>
          <w:szCs w:val="32"/>
        </w:rPr>
        <w:t>6</w:t>
      </w:r>
      <w:r w:rsidR="00672D59" w:rsidRPr="00FC7ED4">
        <w:rPr>
          <w:b/>
          <w:bCs/>
          <w:sz w:val="32"/>
          <w:szCs w:val="32"/>
        </w:rPr>
        <w:t>/</w:t>
      </w:r>
      <w:r>
        <w:rPr>
          <w:b/>
          <w:bCs/>
          <w:sz w:val="32"/>
          <w:szCs w:val="32"/>
        </w:rPr>
        <w:t>NİSAN-</w:t>
      </w:r>
      <w:r w:rsidR="00D806AB">
        <w:rPr>
          <w:b/>
          <w:bCs/>
          <w:sz w:val="32"/>
          <w:szCs w:val="32"/>
        </w:rPr>
        <w:t>2</w:t>
      </w:r>
    </w:p>
    <w:p w14:paraId="2235D047" w14:textId="4653E2AC" w:rsidR="00F44BE8" w:rsidRDefault="00672D59" w:rsidP="00F44BE8">
      <w:pPr>
        <w:spacing w:after="0" w:line="240" w:lineRule="auto"/>
        <w:jc w:val="center"/>
        <w:rPr>
          <w:b/>
          <w:bCs/>
          <w:sz w:val="18"/>
          <w:szCs w:val="18"/>
        </w:rPr>
      </w:pPr>
      <w:r w:rsidRPr="00B54EDB">
        <w:rPr>
          <w:b/>
          <w:bCs/>
          <w:sz w:val="18"/>
          <w:szCs w:val="18"/>
        </w:rPr>
        <w:t>(</w:t>
      </w:r>
      <w:r w:rsidR="00D456C5">
        <w:rPr>
          <w:b/>
          <w:bCs/>
          <w:sz w:val="18"/>
          <w:szCs w:val="18"/>
        </w:rPr>
        <w:t>1</w:t>
      </w:r>
      <w:r w:rsidR="00D806AB">
        <w:rPr>
          <w:b/>
          <w:bCs/>
          <w:sz w:val="18"/>
          <w:szCs w:val="18"/>
        </w:rPr>
        <w:t>8</w:t>
      </w:r>
      <w:r w:rsidR="00472BCE">
        <w:rPr>
          <w:b/>
          <w:bCs/>
          <w:sz w:val="18"/>
          <w:szCs w:val="18"/>
        </w:rPr>
        <w:t>.0</w:t>
      </w:r>
      <w:r w:rsidR="00D456C5">
        <w:rPr>
          <w:b/>
          <w:bCs/>
          <w:sz w:val="18"/>
          <w:szCs w:val="18"/>
        </w:rPr>
        <w:t>4</w:t>
      </w:r>
      <w:r>
        <w:rPr>
          <w:b/>
          <w:bCs/>
          <w:sz w:val="18"/>
          <w:szCs w:val="18"/>
        </w:rPr>
        <w:t>.2026</w:t>
      </w:r>
      <w:r w:rsidR="00C60D77">
        <w:rPr>
          <w:b/>
          <w:bCs/>
          <w:sz w:val="18"/>
          <w:szCs w:val="18"/>
        </w:rPr>
        <w:t>-</w:t>
      </w:r>
      <w:r w:rsidR="00D806AB">
        <w:rPr>
          <w:b/>
          <w:bCs/>
          <w:sz w:val="18"/>
          <w:szCs w:val="18"/>
        </w:rPr>
        <w:t>2</w:t>
      </w:r>
      <w:r w:rsidR="00383C62">
        <w:rPr>
          <w:b/>
          <w:bCs/>
          <w:sz w:val="18"/>
          <w:szCs w:val="18"/>
        </w:rPr>
        <w:t>5</w:t>
      </w:r>
      <w:r w:rsidR="00C60D77">
        <w:rPr>
          <w:b/>
          <w:bCs/>
          <w:sz w:val="18"/>
          <w:szCs w:val="18"/>
        </w:rPr>
        <w:t>.0</w:t>
      </w:r>
      <w:r w:rsidR="000D7C9A">
        <w:rPr>
          <w:b/>
          <w:bCs/>
          <w:sz w:val="18"/>
          <w:szCs w:val="18"/>
        </w:rPr>
        <w:t>4</w:t>
      </w:r>
      <w:r w:rsidR="00C60D77">
        <w:rPr>
          <w:b/>
          <w:bCs/>
          <w:sz w:val="18"/>
          <w:szCs w:val="18"/>
        </w:rPr>
        <w:t>.2026</w:t>
      </w:r>
      <w:r w:rsidRPr="00B54EDB">
        <w:rPr>
          <w:b/>
          <w:bCs/>
          <w:sz w:val="18"/>
          <w:szCs w:val="18"/>
        </w:rPr>
        <w:t>)</w:t>
      </w:r>
    </w:p>
    <w:p w14:paraId="6A5FB738" w14:textId="77777777" w:rsidR="00C23507" w:rsidRDefault="00C23507"/>
    <w:p w14:paraId="2169DD76" w14:textId="1882FF16" w:rsidR="00D806AB" w:rsidRDefault="000374B8" w:rsidP="000374B8">
      <w:pPr>
        <w:jc w:val="both"/>
        <w:rPr>
          <w:b/>
          <w:bCs/>
          <w:sz w:val="26"/>
          <w:szCs w:val="26"/>
        </w:rPr>
      </w:pPr>
      <w:r>
        <w:rPr>
          <w:b/>
          <w:bCs/>
          <w:sz w:val="26"/>
          <w:szCs w:val="26"/>
        </w:rPr>
        <w:t xml:space="preserve">I- </w:t>
      </w:r>
      <w:r w:rsidR="00D806AB" w:rsidRPr="00D806AB">
        <w:rPr>
          <w:b/>
          <w:bCs/>
          <w:sz w:val="26"/>
          <w:szCs w:val="26"/>
        </w:rPr>
        <w:t>SGK GÜNLÜK YEMEK BEDELİ İSTİSNA TUTARI 300 TL OLARAK BELİRLENMİŞTİR. </w:t>
      </w:r>
    </w:p>
    <w:p w14:paraId="12825399" w14:textId="269C0C57" w:rsidR="00D806AB" w:rsidRPr="00D806AB" w:rsidRDefault="00D806AB" w:rsidP="00D806AB">
      <w:pPr>
        <w:jc w:val="both"/>
      </w:pPr>
      <w:r w:rsidRPr="00D806AB">
        <w:t>12/</w:t>
      </w:r>
      <w:r w:rsidR="001E3DEF">
        <w:t>0</w:t>
      </w:r>
      <w:r w:rsidRPr="00D806AB">
        <w:t xml:space="preserve">5/2010 tarihli ve 27579 sayılı Resmî </w:t>
      </w:r>
      <w:proofErr w:type="spellStart"/>
      <w:r w:rsidRPr="00D806AB">
        <w:t>Gazete’de</w:t>
      </w:r>
      <w:proofErr w:type="spellEnd"/>
      <w:r w:rsidRPr="00D806AB">
        <w:t xml:space="preserve"> yayımlanan Sosyal Sigorta İşlemleri Yönetmeliği</w:t>
      </w:r>
      <w:r w:rsidR="000416B1">
        <w:t>’</w:t>
      </w:r>
      <w:r w:rsidRPr="00D806AB">
        <w:t>nin 97</w:t>
      </w:r>
      <w:r>
        <w:t>’</w:t>
      </w:r>
      <w:r w:rsidRPr="00D806AB">
        <w:t>nci maddesinin yedinci fıkrasının (a) bendi aşağıdaki şekilde değiştirilmiş ve aynı fıkraya aşağıdaki cümleler eklenmiştir.</w:t>
      </w:r>
    </w:p>
    <w:p w14:paraId="2CCDBDA5" w14:textId="77777777" w:rsidR="00D806AB" w:rsidRPr="00D806AB" w:rsidRDefault="00D806AB" w:rsidP="00F739C3">
      <w:pPr>
        <w:shd w:val="clear" w:color="auto" w:fill="F2F2F2" w:themeFill="background1" w:themeFillShade="F2"/>
        <w:jc w:val="both"/>
        <w:rPr>
          <w:i/>
          <w:iCs/>
          <w:sz w:val="20"/>
          <w:szCs w:val="20"/>
        </w:rPr>
      </w:pPr>
      <w:r w:rsidRPr="00D806AB">
        <w:rPr>
          <w:i/>
          <w:iCs/>
          <w:sz w:val="20"/>
          <w:szCs w:val="20"/>
        </w:rPr>
        <w:t>“</w:t>
      </w:r>
      <w:proofErr w:type="gramStart"/>
      <w:r w:rsidRPr="00D806AB">
        <w:rPr>
          <w:i/>
          <w:iCs/>
          <w:sz w:val="20"/>
          <w:szCs w:val="20"/>
        </w:rPr>
        <w:t>a</w:t>
      </w:r>
      <w:proofErr w:type="gramEnd"/>
      <w:r w:rsidRPr="00D806AB">
        <w:rPr>
          <w:i/>
          <w:iCs/>
          <w:sz w:val="20"/>
          <w:szCs w:val="20"/>
        </w:rPr>
        <w:t>) Yemek bedelinin;</w:t>
      </w:r>
    </w:p>
    <w:p w14:paraId="6BF12B18" w14:textId="77777777" w:rsidR="00D806AB" w:rsidRPr="00D806AB" w:rsidRDefault="00D806AB" w:rsidP="00F739C3">
      <w:pPr>
        <w:shd w:val="clear" w:color="auto" w:fill="F2F2F2" w:themeFill="background1" w:themeFillShade="F2"/>
        <w:jc w:val="both"/>
        <w:rPr>
          <w:i/>
          <w:iCs/>
          <w:sz w:val="20"/>
          <w:szCs w:val="20"/>
        </w:rPr>
      </w:pPr>
      <w:r w:rsidRPr="00D806AB">
        <w:rPr>
          <w:i/>
          <w:iCs/>
          <w:sz w:val="20"/>
          <w:szCs w:val="20"/>
        </w:rPr>
        <w:t>1) Yemek hizmetinin işyerinde veya müştemilatında sağlanması halinde tamamı,</w:t>
      </w:r>
    </w:p>
    <w:p w14:paraId="1E0F34DA" w14:textId="77777777" w:rsidR="00D806AB" w:rsidRPr="00D806AB" w:rsidRDefault="00D806AB" w:rsidP="00F739C3">
      <w:pPr>
        <w:shd w:val="clear" w:color="auto" w:fill="F2F2F2" w:themeFill="background1" w:themeFillShade="F2"/>
        <w:jc w:val="both"/>
        <w:rPr>
          <w:i/>
          <w:iCs/>
          <w:sz w:val="20"/>
          <w:szCs w:val="20"/>
        </w:rPr>
      </w:pPr>
      <w:r w:rsidRPr="00D806AB">
        <w:rPr>
          <w:i/>
          <w:iCs/>
          <w:sz w:val="20"/>
          <w:szCs w:val="20"/>
        </w:rPr>
        <w:t xml:space="preserve">2) Yemek hizmetinin (1) numaralı alt bentte belirtilen durum dışında sağlanması halinde, çalışılan günlere ait bir günlük yemek bedelinin </w:t>
      </w:r>
      <w:r w:rsidRPr="00D806AB">
        <w:rPr>
          <w:b/>
          <w:bCs/>
          <w:i/>
          <w:iCs/>
          <w:sz w:val="20"/>
          <w:szCs w:val="20"/>
        </w:rPr>
        <w:t>300 Türk lirasına kadar kısmı</w:t>
      </w:r>
      <w:r w:rsidRPr="00D806AB">
        <w:rPr>
          <w:i/>
          <w:iCs/>
          <w:sz w:val="20"/>
          <w:szCs w:val="20"/>
        </w:rPr>
        <w:t>,”</w:t>
      </w:r>
    </w:p>
    <w:p w14:paraId="486B4FDC" w14:textId="03E76F49" w:rsidR="00D806AB" w:rsidRPr="00D806AB" w:rsidRDefault="00D806AB" w:rsidP="00F739C3">
      <w:pPr>
        <w:shd w:val="clear" w:color="auto" w:fill="F2F2F2" w:themeFill="background1" w:themeFillShade="F2"/>
        <w:jc w:val="both"/>
        <w:rPr>
          <w:i/>
          <w:iCs/>
          <w:sz w:val="20"/>
          <w:szCs w:val="20"/>
        </w:rPr>
      </w:pPr>
      <w:r w:rsidRPr="00D806AB">
        <w:rPr>
          <w:i/>
          <w:iCs/>
          <w:sz w:val="20"/>
          <w:szCs w:val="20"/>
        </w:rPr>
        <w:t>“Bu fıkranın (a) bendinin (2) numaralı alt bendinde belirtilen tutar, her yıl bir önceki yıla ilişkin olarak 213 sayılı Vergi Usul Kanunu</w:t>
      </w:r>
      <w:r w:rsidR="008E667E">
        <w:rPr>
          <w:i/>
          <w:iCs/>
          <w:sz w:val="20"/>
          <w:szCs w:val="20"/>
        </w:rPr>
        <w:t>’</w:t>
      </w:r>
      <w:r w:rsidRPr="00D806AB">
        <w:rPr>
          <w:i/>
          <w:iCs/>
          <w:sz w:val="20"/>
          <w:szCs w:val="20"/>
        </w:rPr>
        <w:t>nun mükerrer 298</w:t>
      </w:r>
      <w:r w:rsidRPr="00F739C3">
        <w:rPr>
          <w:i/>
          <w:iCs/>
          <w:sz w:val="20"/>
          <w:szCs w:val="20"/>
        </w:rPr>
        <w:t>’</w:t>
      </w:r>
      <w:r w:rsidRPr="00D806AB">
        <w:rPr>
          <w:i/>
          <w:iCs/>
          <w:sz w:val="20"/>
          <w:szCs w:val="20"/>
        </w:rPr>
        <w:t>inci maddesinin (B) fıkrasına göre belirlenen yeniden değerleme oranında arttırılmak suretiyle uygulanır. Bu şekilde hesaplanan tutarın %5’ini aşmayan kesirler dikkate alınmaz.”</w:t>
      </w:r>
    </w:p>
    <w:p w14:paraId="59476BA7" w14:textId="6AA12294" w:rsidR="00D806AB" w:rsidRDefault="00D806AB" w:rsidP="000374B8">
      <w:pPr>
        <w:jc w:val="both"/>
      </w:pPr>
      <w:r w:rsidRPr="00D806AB">
        <w:t xml:space="preserve">Yapılan bu </w:t>
      </w:r>
      <w:r>
        <w:t xml:space="preserve">düzenlemeyle </w:t>
      </w:r>
      <w:r w:rsidRPr="00D806AB">
        <w:t>SGK günlük yemek bedeli istisna tutarı </w:t>
      </w:r>
      <w:r w:rsidRPr="00D806AB">
        <w:rPr>
          <w:b/>
          <w:bCs/>
        </w:rPr>
        <w:t>300 TL</w:t>
      </w:r>
      <w:r w:rsidRPr="00D806AB">
        <w:t> olarak belirlenmiştir. Bu tutar, işverenin personele sağladığı yemek yardımının prime esas kazanca (sigorta primi) dahil edilmeyen kısmıdır. Belirlenen 300 TL'yi aşan yemek yardımı tutarları SGK primine tabi tutulacakt</w:t>
      </w:r>
      <w:r>
        <w:t>ır.</w:t>
      </w:r>
    </w:p>
    <w:p w14:paraId="0EF852EB" w14:textId="3ABF57BD" w:rsidR="000416B1" w:rsidRDefault="000416B1" w:rsidP="000374B8">
      <w:pPr>
        <w:jc w:val="both"/>
      </w:pPr>
      <w:r>
        <w:t>18 Nisan 2026 tarihinde yürürlüğe giren bu değişiklikten önceki düzenleme aşağıdaki gibiydi:</w:t>
      </w:r>
    </w:p>
    <w:p w14:paraId="63D0D720" w14:textId="5AEE92BB" w:rsidR="000416B1" w:rsidRPr="00F739C3" w:rsidRDefault="000416B1" w:rsidP="000374B8">
      <w:pPr>
        <w:jc w:val="both"/>
        <w:rPr>
          <w:i/>
          <w:iCs/>
        </w:rPr>
      </w:pPr>
      <w:r w:rsidRPr="00F739C3">
        <w:rPr>
          <w:i/>
          <w:iCs/>
        </w:rPr>
        <w:t>“(a) İşyerinde veya müştemilatında yemek verilmeyen durumlarda, sigortalıya yemek verilmek suretiyle sağlanan menfaatlerin nakit olarak ya da yemek hizmetinin alınması dışında kullanılabilecek yemek kartı/çeki/kuponu gibi araçlarla sağlanması halinde, fiilen çalışılan günlere ait bir günlük yemek bedelinin Kurum Yönetim Kurulunca belirlenen tutarının fiilen çalışılan gün sayısı ile çarpılması sonucunda bulunulacak tutarını aşmayan kısmı, prime esas kazançların hesaplanmasında dikkate alınmaz.”</w:t>
      </w:r>
    </w:p>
    <w:p w14:paraId="45394576" w14:textId="7B017287" w:rsidR="00943556" w:rsidRDefault="00943556" w:rsidP="000374B8">
      <w:pPr>
        <w:jc w:val="both"/>
      </w:pPr>
      <w:r>
        <w:t xml:space="preserve">Değişiklik öncesi uygulamada, </w:t>
      </w:r>
      <w:r w:rsidRPr="00943556">
        <w:t xml:space="preserve">Sosyal Güvenlik Kurumu Yönetim Kurulu tarafından alınan </w:t>
      </w:r>
      <w:r w:rsidR="000D7CF4">
        <w:t>0</w:t>
      </w:r>
      <w:r w:rsidRPr="00943556">
        <w:t>5/12/2024 tarihli ve 2024/509 sayılı Karar ile 1/1/ 2025 tarihinden itibaren geçerli olmak üzere yemek bedelinin prime esas kazançtan istisna edilecek günlük tutarı 158,00 TL olarak belirlenmişt</w:t>
      </w:r>
      <w:r>
        <w:t>i.</w:t>
      </w:r>
    </w:p>
    <w:p w14:paraId="43D0E8C6" w14:textId="61A9AC06" w:rsidR="00D806AB" w:rsidRDefault="00F739C3" w:rsidP="000374B8">
      <w:pPr>
        <w:jc w:val="both"/>
      </w:pPr>
      <w:r w:rsidRPr="00F739C3">
        <w:t xml:space="preserve">Önceki düzenlemede yemek yardımı, </w:t>
      </w:r>
      <w:r>
        <w:t xml:space="preserve">farklı seçeneklerle </w:t>
      </w:r>
      <w:r w:rsidRPr="00F739C3">
        <w:t>genel bir ifade içerisinde yer almakta iken; yeni düzenlemede yemek bedeli ayrı bir bent halinde</w:t>
      </w:r>
      <w:r>
        <w:t xml:space="preserve"> net olarak</w:t>
      </w:r>
      <w:r w:rsidRPr="00F739C3">
        <w:t xml:space="preserve"> düzenlenmiştir.</w:t>
      </w:r>
    </w:p>
    <w:p w14:paraId="178B315D" w14:textId="77777777" w:rsidR="00943556" w:rsidRPr="00F739C3" w:rsidRDefault="00943556" w:rsidP="000374B8">
      <w:pPr>
        <w:jc w:val="both"/>
      </w:pPr>
    </w:p>
    <w:p w14:paraId="443B4C55" w14:textId="16AE45F2" w:rsidR="00943556" w:rsidRPr="00943556" w:rsidRDefault="00D456C5" w:rsidP="000D7CF4">
      <w:pPr>
        <w:jc w:val="both"/>
        <w:rPr>
          <w:b/>
          <w:bCs/>
          <w:sz w:val="26"/>
          <w:szCs w:val="26"/>
        </w:rPr>
      </w:pPr>
      <w:r w:rsidRPr="00E31B81">
        <w:rPr>
          <w:b/>
          <w:bCs/>
          <w:sz w:val="26"/>
          <w:szCs w:val="26"/>
        </w:rPr>
        <w:t xml:space="preserve">II- </w:t>
      </w:r>
      <w:r w:rsidR="00943556" w:rsidRPr="00943556">
        <w:rPr>
          <w:b/>
          <w:bCs/>
          <w:sz w:val="26"/>
          <w:szCs w:val="26"/>
        </w:rPr>
        <w:t>ÖZEL TÜKETİM VERGİSİ (II) SAYILI LİSTE UYGULAMA GENEL</w:t>
      </w:r>
      <w:r w:rsidR="00943556">
        <w:rPr>
          <w:b/>
          <w:bCs/>
          <w:sz w:val="26"/>
          <w:szCs w:val="26"/>
        </w:rPr>
        <w:t xml:space="preserve"> </w:t>
      </w:r>
      <w:r w:rsidR="00943556" w:rsidRPr="00943556">
        <w:rPr>
          <w:b/>
          <w:bCs/>
          <w:sz w:val="26"/>
          <w:szCs w:val="26"/>
        </w:rPr>
        <w:t xml:space="preserve">TEBLİĞİNDE </w:t>
      </w:r>
      <w:r w:rsidR="00943556">
        <w:rPr>
          <w:b/>
          <w:bCs/>
          <w:sz w:val="26"/>
          <w:szCs w:val="26"/>
        </w:rPr>
        <w:t>D</w:t>
      </w:r>
      <w:r w:rsidR="00943556" w:rsidRPr="00943556">
        <w:rPr>
          <w:b/>
          <w:bCs/>
          <w:sz w:val="26"/>
          <w:szCs w:val="26"/>
        </w:rPr>
        <w:t xml:space="preserve">EĞİŞİKLİK YAPILMASINA DAİR </w:t>
      </w:r>
      <w:r w:rsidR="00943556">
        <w:rPr>
          <w:b/>
          <w:bCs/>
          <w:sz w:val="26"/>
          <w:szCs w:val="26"/>
        </w:rPr>
        <w:t xml:space="preserve">17 SERİ NO’LU </w:t>
      </w:r>
      <w:r w:rsidR="00943556" w:rsidRPr="00943556">
        <w:rPr>
          <w:b/>
          <w:bCs/>
          <w:sz w:val="26"/>
          <w:szCs w:val="26"/>
        </w:rPr>
        <w:t>TEBLİĞ</w:t>
      </w:r>
      <w:r w:rsidR="00943556">
        <w:rPr>
          <w:b/>
          <w:bCs/>
          <w:sz w:val="26"/>
          <w:szCs w:val="26"/>
        </w:rPr>
        <w:t xml:space="preserve"> YAYIMLANMIŞTIR</w:t>
      </w:r>
    </w:p>
    <w:p w14:paraId="38AB7226" w14:textId="365A91CB" w:rsidR="00943556" w:rsidRDefault="00943556" w:rsidP="000D7CF4">
      <w:pPr>
        <w:jc w:val="both"/>
      </w:pPr>
      <w:r w:rsidRPr="00943556">
        <w:t>Özel Tüketim Vergisi (I</w:t>
      </w:r>
      <w:r>
        <w:t>I</w:t>
      </w:r>
      <w:r w:rsidRPr="00943556">
        <w:t xml:space="preserve">) Sayılı Liste Uygulama Genel Tebliğinde Değişiklik Yapılmasına Dair 17 Seri </w:t>
      </w:r>
      <w:proofErr w:type="spellStart"/>
      <w:r w:rsidRPr="00943556">
        <w:t>No’lu</w:t>
      </w:r>
      <w:proofErr w:type="spellEnd"/>
      <w:r w:rsidRPr="00943556">
        <w:t xml:space="preserve"> Tebliğ</w:t>
      </w:r>
      <w:r>
        <w:t>,</w:t>
      </w:r>
      <w:r>
        <w:rPr>
          <w:b/>
          <w:bCs/>
          <w:sz w:val="26"/>
          <w:szCs w:val="26"/>
        </w:rPr>
        <w:t xml:space="preserve"> </w:t>
      </w:r>
      <w:r w:rsidRPr="00943556">
        <w:t>22 Nisan 2026 tarihli ve 33232</w:t>
      </w:r>
      <w:r>
        <w:t xml:space="preserve"> sayılı Resmî </w:t>
      </w:r>
      <w:proofErr w:type="spellStart"/>
      <w:r>
        <w:t>Gazete’de</w:t>
      </w:r>
      <w:proofErr w:type="spellEnd"/>
      <w:r>
        <w:t xml:space="preserve"> yayımlanmıştır. Yayımı tarihinde yürürlüğe giren Tebliğ ile yapılan değişiklikler aşağıdaki gibidir:</w:t>
      </w:r>
    </w:p>
    <w:p w14:paraId="223ED4DC" w14:textId="224A52BE" w:rsidR="00943556" w:rsidRPr="00943556" w:rsidRDefault="00943556" w:rsidP="00050B67">
      <w:pPr>
        <w:jc w:val="both"/>
        <w:rPr>
          <w:b/>
          <w:bCs/>
        </w:rPr>
      </w:pPr>
      <w:r w:rsidRPr="00943556">
        <w:rPr>
          <w:b/>
          <w:bCs/>
        </w:rPr>
        <w:lastRenderedPageBreak/>
        <w:t>A- (II) Sayılı Listede Değişiklik ve İlaveler Yapılmıştır:</w:t>
      </w:r>
    </w:p>
    <w:p w14:paraId="2CD79C30" w14:textId="129430D5" w:rsidR="00943556" w:rsidRPr="00943556" w:rsidRDefault="007A7DCD" w:rsidP="00943556">
      <w:pPr>
        <w:jc w:val="both"/>
      </w:pPr>
      <w:r>
        <w:t xml:space="preserve">Tebliğin 1. maddesi ile </w:t>
      </w:r>
      <w:r w:rsidR="00943556" w:rsidRPr="00943556">
        <w:t>Özel Tüketim Vergisi (II) Sayılı Liste Uygulama Genel Tebliğinin (II/C/1.1) bölümünde yer alan “(II/C/1.3)” ibaresi “(II/C/1.3.1)” olarak değiştirilmiş ve “Yerli katkı oranı” tanımından sonra gelmek üzere aşağıdaki tanım eklenmiştir.</w:t>
      </w:r>
    </w:p>
    <w:p w14:paraId="76705559" w14:textId="77777777" w:rsidR="007A7DCD" w:rsidRDefault="00943556" w:rsidP="007A7DCD">
      <w:pPr>
        <w:shd w:val="clear" w:color="auto" w:fill="F2F2F2" w:themeFill="background1" w:themeFillShade="F2"/>
        <w:jc w:val="both"/>
        <w:rPr>
          <w:i/>
          <w:iCs/>
          <w:sz w:val="20"/>
          <w:szCs w:val="20"/>
        </w:rPr>
      </w:pPr>
      <w:r w:rsidRPr="00943556">
        <w:rPr>
          <w:i/>
          <w:iCs/>
          <w:sz w:val="20"/>
          <w:szCs w:val="20"/>
        </w:rPr>
        <w:t>“Sürücü adayları ve sürücüler için sağlık raporu: 2918 sayılı Kanunun 41</w:t>
      </w:r>
      <w:r w:rsidRPr="007A7DCD">
        <w:rPr>
          <w:i/>
          <w:iCs/>
          <w:sz w:val="20"/>
          <w:szCs w:val="20"/>
        </w:rPr>
        <w:t>’</w:t>
      </w:r>
      <w:r w:rsidRPr="00943556">
        <w:rPr>
          <w:i/>
          <w:iCs/>
          <w:sz w:val="20"/>
          <w:szCs w:val="20"/>
        </w:rPr>
        <w:t xml:space="preserve">inci maddesinin ikinci fıkrası uyarınca 26/9/2006 tarihli ve 26301 sayılı Resmî </w:t>
      </w:r>
      <w:proofErr w:type="spellStart"/>
      <w:r w:rsidRPr="00943556">
        <w:rPr>
          <w:i/>
          <w:iCs/>
          <w:sz w:val="20"/>
          <w:szCs w:val="20"/>
        </w:rPr>
        <w:t>Gazete’de</w:t>
      </w:r>
      <w:proofErr w:type="spellEnd"/>
      <w:r w:rsidRPr="00943556">
        <w:rPr>
          <w:i/>
          <w:iCs/>
          <w:sz w:val="20"/>
          <w:szCs w:val="20"/>
        </w:rPr>
        <w:t xml:space="preserve"> yayımlanan Sürücü Adayları ve Sürücülerde Aranacak Sağlık Şartları ile Muayenelerine Dair Yönetmelik hükümlerine göre düzenlenen raporu</w:t>
      </w:r>
    </w:p>
    <w:p w14:paraId="668F9CC0" w14:textId="59A3A7FC" w:rsidR="00943556" w:rsidRPr="00943556" w:rsidRDefault="00943556" w:rsidP="007A7DCD">
      <w:pPr>
        <w:shd w:val="clear" w:color="auto" w:fill="F2F2F2" w:themeFill="background1" w:themeFillShade="F2"/>
        <w:jc w:val="both"/>
        <w:rPr>
          <w:i/>
          <w:iCs/>
          <w:sz w:val="20"/>
          <w:szCs w:val="20"/>
        </w:rPr>
      </w:pPr>
      <w:proofErr w:type="gramStart"/>
      <w:r w:rsidRPr="00943556">
        <w:rPr>
          <w:i/>
          <w:iCs/>
          <w:sz w:val="20"/>
          <w:szCs w:val="20"/>
        </w:rPr>
        <w:t>,</w:t>
      </w:r>
      <w:r w:rsidR="007A7DCD">
        <w:rPr>
          <w:i/>
          <w:iCs/>
          <w:sz w:val="20"/>
          <w:szCs w:val="20"/>
        </w:rPr>
        <w:t>…</w:t>
      </w:r>
      <w:proofErr w:type="gramEnd"/>
      <w:r w:rsidR="007A7DCD">
        <w:rPr>
          <w:i/>
          <w:iCs/>
          <w:sz w:val="20"/>
          <w:szCs w:val="20"/>
        </w:rPr>
        <w:t>ifade eder.</w:t>
      </w:r>
      <w:r w:rsidRPr="00943556">
        <w:rPr>
          <w:i/>
          <w:iCs/>
          <w:sz w:val="20"/>
          <w:szCs w:val="20"/>
        </w:rPr>
        <w:t>”</w:t>
      </w:r>
    </w:p>
    <w:p w14:paraId="4B30F22A" w14:textId="40673B98" w:rsidR="00943556" w:rsidRPr="00943556" w:rsidRDefault="007A7DCD" w:rsidP="00050B67">
      <w:pPr>
        <w:jc w:val="both"/>
      </w:pPr>
      <w:r>
        <w:t xml:space="preserve">Söz konusu Tebliğin </w:t>
      </w:r>
      <w:r w:rsidRPr="007A7DCD">
        <w:t xml:space="preserve">1.3. </w:t>
      </w:r>
      <w:r>
        <w:t>bölümünün başlığı, “</w:t>
      </w:r>
      <w:r w:rsidRPr="007A7DCD">
        <w:t>Engellilik Derecesi %90’ın Altında Olanların Taşıt Alımlarında İstisna</w:t>
      </w:r>
      <w:r>
        <w:t>”, değiştirilen</w:t>
      </w:r>
      <w:r w:rsidRPr="007A7DCD">
        <w:t xml:space="preserve"> 1.3.1.</w:t>
      </w:r>
      <w:r>
        <w:t xml:space="preserve"> alt bölümünün başlığı da “</w:t>
      </w:r>
      <w:r w:rsidRPr="007A7DCD">
        <w:t xml:space="preserve">Bizzat Kullanma Amacıyla Engelliliğine Uygun Hareket Ettirici Tertibat Yaptıranların Taşıt Alımlarında </w:t>
      </w:r>
      <w:proofErr w:type="spellStart"/>
      <w:r w:rsidRPr="007A7DCD">
        <w:t>İstisna</w:t>
      </w:r>
      <w:r>
        <w:t>”dır</w:t>
      </w:r>
      <w:proofErr w:type="spellEnd"/>
      <w:r>
        <w:t>.</w:t>
      </w:r>
    </w:p>
    <w:p w14:paraId="4E706D76" w14:textId="39CFA4D4" w:rsidR="00943556" w:rsidRPr="007A7DCD" w:rsidRDefault="007A7DCD" w:rsidP="00050B67">
      <w:pPr>
        <w:jc w:val="both"/>
        <w:rPr>
          <w:b/>
          <w:bCs/>
        </w:rPr>
      </w:pPr>
      <w:r w:rsidRPr="007A7DCD">
        <w:rPr>
          <w:b/>
          <w:bCs/>
        </w:rPr>
        <w:t>B- Özel Tüketim Vergisi (II) Sayılı Liste Uygulama Genel Tebliğine 1.3.2. Bölümü Eklenmiştir:</w:t>
      </w:r>
    </w:p>
    <w:p w14:paraId="2D413E37" w14:textId="26575D64" w:rsidR="007A7DCD" w:rsidRPr="007A7DCD" w:rsidRDefault="007A7DCD" w:rsidP="007A7DCD">
      <w:pPr>
        <w:jc w:val="both"/>
      </w:pPr>
      <w:r>
        <w:t xml:space="preserve">17 Sıra </w:t>
      </w:r>
      <w:proofErr w:type="spellStart"/>
      <w:r>
        <w:t>No’lu</w:t>
      </w:r>
      <w:proofErr w:type="spellEnd"/>
      <w:r>
        <w:t xml:space="preserve"> </w:t>
      </w:r>
      <w:r w:rsidRPr="007A7DCD">
        <w:t>Tebliğin 2. maddesi ile Özel Tüketim Vergisi (II) Sayılı Liste Uygulama Genel</w:t>
      </w:r>
      <w:r w:rsidRPr="007A7DCD">
        <w:rPr>
          <w:b/>
          <w:bCs/>
        </w:rPr>
        <w:t xml:space="preserve"> </w:t>
      </w:r>
      <w:r w:rsidRPr="007A7DCD">
        <w:t>Tebliğin</w:t>
      </w:r>
      <w:r>
        <w:t>in</w:t>
      </w:r>
      <w:r w:rsidRPr="007A7DCD">
        <w:t xml:space="preserve"> (II/C/1.3) bölümüne “1.3. Engellilik Derecesi %90’ın Altında Olanların Taşıt Alımlarında İstisna” başlığından sonra gelmek üzere “1.3.1. Bizzat Kullanma Amacıyla Engelliliğine Uygun Hareket Ettirici Tertibat Yaptıranların Taşıt Alımlarında İstisna” başlığı eklenmiş ve “1.3.1” bölümünden sonra gelmek üzere</w:t>
      </w:r>
      <w:r>
        <w:t>,</w:t>
      </w:r>
      <w:r w:rsidRPr="007A7DCD">
        <w:t xml:space="preserve"> aşağıdaki bölüm eklenmiştir.</w:t>
      </w:r>
    </w:p>
    <w:p w14:paraId="3AFC8A44" w14:textId="77777777" w:rsidR="007A7DCD" w:rsidRPr="007A7DCD" w:rsidRDefault="007A7DCD" w:rsidP="007A7DCD">
      <w:pPr>
        <w:shd w:val="clear" w:color="auto" w:fill="F2F2F2" w:themeFill="background1" w:themeFillShade="F2"/>
        <w:jc w:val="both"/>
        <w:rPr>
          <w:i/>
          <w:iCs/>
          <w:sz w:val="20"/>
          <w:szCs w:val="20"/>
        </w:rPr>
      </w:pPr>
      <w:r w:rsidRPr="007A7DCD">
        <w:rPr>
          <w:i/>
          <w:iCs/>
          <w:sz w:val="20"/>
          <w:szCs w:val="20"/>
        </w:rPr>
        <w:t>“1.3.2. Ortopedik Engel Oranı %40 ve Üzeri Olan ve Sürücü Belgesi Alamayanların Taşıt Alımlarında İstisna</w:t>
      </w:r>
    </w:p>
    <w:p w14:paraId="055114B8" w14:textId="4D62A440" w:rsidR="007A7DCD" w:rsidRPr="007A7DCD" w:rsidRDefault="007A7DCD" w:rsidP="007A7DCD">
      <w:pPr>
        <w:shd w:val="clear" w:color="auto" w:fill="F2F2F2" w:themeFill="background1" w:themeFillShade="F2"/>
        <w:jc w:val="both"/>
        <w:rPr>
          <w:i/>
          <w:iCs/>
          <w:sz w:val="20"/>
          <w:szCs w:val="20"/>
        </w:rPr>
      </w:pPr>
      <w:r w:rsidRPr="007A7DCD">
        <w:rPr>
          <w:i/>
          <w:iCs/>
          <w:sz w:val="20"/>
          <w:szCs w:val="20"/>
        </w:rPr>
        <w:t>Özel Tüketim Vergisi Kanununun 7</w:t>
      </w:r>
      <w:r>
        <w:rPr>
          <w:i/>
          <w:iCs/>
          <w:sz w:val="20"/>
          <w:szCs w:val="20"/>
        </w:rPr>
        <w:t>’</w:t>
      </w:r>
      <w:r w:rsidRPr="007A7DCD">
        <w:rPr>
          <w:i/>
          <w:iCs/>
          <w:sz w:val="20"/>
          <w:szCs w:val="20"/>
        </w:rPr>
        <w:t>nci maddesinin birinci fıkrasının (2) numaralı bendinin (c) alt bendi uyarınca, (II) sayılı listedeki kayıt ve tescile tabi ve yerli katkı oranı en az %40 olan mallardan, Türk Gümrük Tarife Cetvelinin,</w:t>
      </w:r>
    </w:p>
    <w:p w14:paraId="12948B4C" w14:textId="77777777" w:rsidR="007A7DCD" w:rsidRPr="007A7DCD" w:rsidRDefault="007A7DCD" w:rsidP="007A7DCD">
      <w:pPr>
        <w:shd w:val="clear" w:color="auto" w:fill="F2F2F2" w:themeFill="background1" w:themeFillShade="F2"/>
        <w:jc w:val="both"/>
        <w:rPr>
          <w:i/>
          <w:iCs/>
          <w:sz w:val="20"/>
          <w:szCs w:val="20"/>
        </w:rPr>
      </w:pPr>
      <w:r w:rsidRPr="007A7DCD">
        <w:rPr>
          <w:i/>
          <w:iCs/>
          <w:sz w:val="20"/>
          <w:szCs w:val="20"/>
        </w:rPr>
        <w:t>• 87.03 tarife pozisyonunda yer alan, motor silindir hacmine bakılmaksızın, hesaplanması gereken özel tüketim vergisi ve diğer her türlü vergiler dâhil bedeli 2.873.900 TL’nin altında olan binek otomobil, </w:t>
      </w:r>
      <w:proofErr w:type="spellStart"/>
      <w:r w:rsidRPr="007A7DCD">
        <w:rPr>
          <w:i/>
          <w:iCs/>
          <w:sz w:val="20"/>
          <w:szCs w:val="20"/>
        </w:rPr>
        <w:t>panelvan</w:t>
      </w:r>
      <w:proofErr w:type="spellEnd"/>
      <w:r w:rsidRPr="007A7DCD">
        <w:rPr>
          <w:i/>
          <w:iCs/>
          <w:sz w:val="20"/>
          <w:szCs w:val="20"/>
        </w:rPr>
        <w:t>, </w:t>
      </w:r>
      <w:proofErr w:type="spellStart"/>
      <w:r w:rsidRPr="007A7DCD">
        <w:rPr>
          <w:i/>
          <w:iCs/>
          <w:sz w:val="20"/>
          <w:szCs w:val="20"/>
        </w:rPr>
        <w:t>pick-up</w:t>
      </w:r>
      <w:proofErr w:type="spellEnd"/>
      <w:r w:rsidRPr="007A7DCD">
        <w:rPr>
          <w:i/>
          <w:iCs/>
          <w:sz w:val="20"/>
          <w:szCs w:val="20"/>
        </w:rPr>
        <w:t>, arazi taşıtı, ATV, </w:t>
      </w:r>
      <w:proofErr w:type="spellStart"/>
      <w:r w:rsidRPr="007A7DCD">
        <w:rPr>
          <w:i/>
          <w:iCs/>
          <w:sz w:val="20"/>
          <w:szCs w:val="20"/>
        </w:rPr>
        <w:t>jeep</w:t>
      </w:r>
      <w:proofErr w:type="spellEnd"/>
      <w:r w:rsidRPr="007A7DCD">
        <w:rPr>
          <w:i/>
          <w:iCs/>
          <w:sz w:val="20"/>
          <w:szCs w:val="20"/>
        </w:rPr>
        <w:t>, steyşın vagon, vb. taşıtların,</w:t>
      </w:r>
    </w:p>
    <w:p w14:paraId="67B09BC7" w14:textId="77777777" w:rsidR="007A7DCD" w:rsidRPr="007A7DCD" w:rsidRDefault="007A7DCD" w:rsidP="007A7DCD">
      <w:pPr>
        <w:shd w:val="clear" w:color="auto" w:fill="F2F2F2" w:themeFill="background1" w:themeFillShade="F2"/>
        <w:jc w:val="both"/>
        <w:rPr>
          <w:i/>
          <w:iCs/>
          <w:sz w:val="20"/>
          <w:szCs w:val="20"/>
        </w:rPr>
      </w:pPr>
      <w:r w:rsidRPr="007A7DCD">
        <w:rPr>
          <w:i/>
          <w:iCs/>
          <w:sz w:val="20"/>
          <w:szCs w:val="20"/>
        </w:rPr>
        <w:t>• 87.04 tarife pozisyonunda yer alan, eşya taşımaya mahsus, 2800 cm³ veya altında motor silindir hacmine sahip </w:t>
      </w:r>
      <w:proofErr w:type="spellStart"/>
      <w:r w:rsidRPr="007A7DCD">
        <w:rPr>
          <w:i/>
          <w:iCs/>
          <w:sz w:val="20"/>
          <w:szCs w:val="20"/>
        </w:rPr>
        <w:t>van</w:t>
      </w:r>
      <w:proofErr w:type="spellEnd"/>
      <w:r w:rsidRPr="007A7DCD">
        <w:rPr>
          <w:i/>
          <w:iCs/>
          <w:sz w:val="20"/>
          <w:szCs w:val="20"/>
        </w:rPr>
        <w:t>, </w:t>
      </w:r>
      <w:proofErr w:type="spellStart"/>
      <w:r w:rsidRPr="007A7DCD">
        <w:rPr>
          <w:i/>
          <w:iCs/>
          <w:sz w:val="20"/>
          <w:szCs w:val="20"/>
        </w:rPr>
        <w:t>panelvan</w:t>
      </w:r>
      <w:proofErr w:type="spellEnd"/>
      <w:r w:rsidRPr="007A7DCD">
        <w:rPr>
          <w:i/>
          <w:iCs/>
          <w:sz w:val="20"/>
          <w:szCs w:val="20"/>
        </w:rPr>
        <w:t>, kamyonet, </w:t>
      </w:r>
      <w:proofErr w:type="spellStart"/>
      <w:r w:rsidRPr="007A7DCD">
        <w:rPr>
          <w:i/>
          <w:iCs/>
          <w:sz w:val="20"/>
          <w:szCs w:val="20"/>
        </w:rPr>
        <w:t>pick-up</w:t>
      </w:r>
      <w:proofErr w:type="spellEnd"/>
      <w:r w:rsidRPr="007A7DCD">
        <w:rPr>
          <w:i/>
          <w:iCs/>
          <w:sz w:val="20"/>
          <w:szCs w:val="20"/>
        </w:rPr>
        <w:t>, vb. taşıtların,</w:t>
      </w:r>
    </w:p>
    <w:p w14:paraId="7D5511D5" w14:textId="77777777" w:rsidR="007A7DCD" w:rsidRPr="007A7DCD" w:rsidRDefault="007A7DCD" w:rsidP="007A7DCD">
      <w:pPr>
        <w:shd w:val="clear" w:color="auto" w:fill="F2F2F2" w:themeFill="background1" w:themeFillShade="F2"/>
        <w:jc w:val="both"/>
        <w:rPr>
          <w:i/>
          <w:iCs/>
          <w:sz w:val="20"/>
          <w:szCs w:val="20"/>
        </w:rPr>
      </w:pPr>
      <w:r w:rsidRPr="007A7DCD">
        <w:rPr>
          <w:i/>
          <w:iCs/>
          <w:sz w:val="20"/>
          <w:szCs w:val="20"/>
        </w:rPr>
        <w:t>• 87.11 tarife pozisyonunda yer alan, motor silindir hacmine bakılmaksızın, motosikletlerin,</w:t>
      </w:r>
    </w:p>
    <w:p w14:paraId="439A11D6" w14:textId="77777777" w:rsidR="007A7DCD" w:rsidRPr="007A7DCD" w:rsidRDefault="007A7DCD" w:rsidP="007A7DCD">
      <w:pPr>
        <w:shd w:val="clear" w:color="auto" w:fill="F2F2F2" w:themeFill="background1" w:themeFillShade="F2"/>
        <w:jc w:val="both"/>
        <w:rPr>
          <w:i/>
          <w:iCs/>
          <w:sz w:val="20"/>
          <w:szCs w:val="20"/>
        </w:rPr>
      </w:pPr>
      <w:proofErr w:type="gramStart"/>
      <w:r w:rsidRPr="007A7DCD">
        <w:rPr>
          <w:i/>
          <w:iCs/>
          <w:sz w:val="20"/>
          <w:szCs w:val="20"/>
        </w:rPr>
        <w:t>engel</w:t>
      </w:r>
      <w:proofErr w:type="gramEnd"/>
      <w:r w:rsidRPr="007A7DCD">
        <w:rPr>
          <w:i/>
          <w:iCs/>
          <w:sz w:val="20"/>
          <w:szCs w:val="20"/>
        </w:rPr>
        <w:t> oranı %40 ve üzeri olan ortopedik engellilerden ortopedik engelleri nedeniyle hakkında sürücü belgesi alamayacağına karar verilen malul veya engelliler tarafından ilk iktisabı ÖTV’den müstesnadır.</w:t>
      </w:r>
    </w:p>
    <w:p w14:paraId="08AB2985" w14:textId="77777777" w:rsidR="007A7DCD" w:rsidRPr="007A7DCD" w:rsidRDefault="007A7DCD" w:rsidP="007A7DCD">
      <w:pPr>
        <w:shd w:val="clear" w:color="auto" w:fill="F2F2F2" w:themeFill="background1" w:themeFillShade="F2"/>
        <w:jc w:val="both"/>
        <w:rPr>
          <w:i/>
          <w:iCs/>
          <w:sz w:val="20"/>
          <w:szCs w:val="20"/>
        </w:rPr>
      </w:pPr>
      <w:r w:rsidRPr="007A7DCD">
        <w:rPr>
          <w:i/>
          <w:iCs/>
          <w:sz w:val="20"/>
          <w:szCs w:val="20"/>
        </w:rPr>
        <w:t>ÖTV mükellefleri, bu istisna kapsamındaki taşıt tesliminde hesaplanan ÖTV tutarını, fatura bedeline dâhil etmez, ancak fatura bedeline dâhil edilmeyen bu tutarı düzenlenen faturada “ÖTV Kanununun 7/2 Maddesi Kapsamında Hesaplanıp Fatura Bedeline Dâhil Edilmeyen ÖTV Tutarı ................ TL’dir.” şerhi ile gösterir.</w:t>
      </w:r>
    </w:p>
    <w:p w14:paraId="29648093" w14:textId="77777777" w:rsidR="007A7DCD" w:rsidRPr="007A7DCD" w:rsidRDefault="007A7DCD" w:rsidP="007A7DCD">
      <w:pPr>
        <w:shd w:val="clear" w:color="auto" w:fill="F2F2F2" w:themeFill="background1" w:themeFillShade="F2"/>
        <w:jc w:val="both"/>
        <w:rPr>
          <w:i/>
          <w:iCs/>
          <w:sz w:val="20"/>
          <w:szCs w:val="20"/>
        </w:rPr>
      </w:pPr>
      <w:r w:rsidRPr="007A7DCD">
        <w:rPr>
          <w:i/>
          <w:iCs/>
          <w:sz w:val="20"/>
          <w:szCs w:val="20"/>
        </w:rPr>
        <w:t>İstisna uygulanarak ilk iktisap kapsamında teslim edilen taşıtlar için de mükellefler tarafından (2A) numaralı ÖTV Beyannamesi verilir, ancak beyannamede ÖTV hesaplanmaz.</w:t>
      </w:r>
    </w:p>
    <w:p w14:paraId="0FA55628" w14:textId="77777777" w:rsidR="007A7DCD" w:rsidRPr="007A7DCD" w:rsidRDefault="007A7DCD" w:rsidP="007A7DCD">
      <w:pPr>
        <w:shd w:val="clear" w:color="auto" w:fill="F2F2F2" w:themeFill="background1" w:themeFillShade="F2"/>
        <w:jc w:val="both"/>
        <w:rPr>
          <w:i/>
          <w:iCs/>
          <w:sz w:val="20"/>
          <w:szCs w:val="20"/>
        </w:rPr>
      </w:pPr>
      <w:r w:rsidRPr="007A7DCD">
        <w:rPr>
          <w:i/>
          <w:iCs/>
          <w:sz w:val="20"/>
          <w:szCs w:val="20"/>
        </w:rPr>
        <w:t>Beyannamenin verildiği günü takip eden günün mesai saati bitimine kadar bir dilekçe ekinde;</w:t>
      </w:r>
    </w:p>
    <w:p w14:paraId="54E6EC56" w14:textId="77777777" w:rsidR="007A7DCD" w:rsidRPr="007A7DCD" w:rsidRDefault="007A7DCD" w:rsidP="007A7DCD">
      <w:pPr>
        <w:shd w:val="clear" w:color="auto" w:fill="F2F2F2" w:themeFill="background1" w:themeFillShade="F2"/>
        <w:jc w:val="both"/>
        <w:rPr>
          <w:i/>
          <w:iCs/>
          <w:sz w:val="20"/>
          <w:szCs w:val="20"/>
        </w:rPr>
      </w:pPr>
      <w:r w:rsidRPr="007A7DCD">
        <w:rPr>
          <w:i/>
          <w:iCs/>
          <w:sz w:val="20"/>
          <w:szCs w:val="20"/>
        </w:rPr>
        <w:t xml:space="preserve">• Alıcının (malul veya engellinin), maluliyet veya engel durumu itibarıyla ortopedik engel oranının %40 ve üzerinde olduğu belirtilen ve ortopedik engeli nedeniyle hakkında sürücü belgesi alamayacağına dair değerlendirmeyi </w:t>
      </w:r>
      <w:r w:rsidRPr="007A7DCD">
        <w:rPr>
          <w:i/>
          <w:iCs/>
          <w:sz w:val="20"/>
          <w:szCs w:val="20"/>
        </w:rPr>
        <w:lastRenderedPageBreak/>
        <w:t>içeren engellilik sağlık kurulu raporunun bir örneği (elektronik ortamda teyit edilemeyenler için, aslı veya noter onaylı örneği),</w:t>
      </w:r>
    </w:p>
    <w:p w14:paraId="3A0574BC" w14:textId="77777777" w:rsidR="007A7DCD" w:rsidRPr="007A7DCD" w:rsidRDefault="007A7DCD" w:rsidP="007A7DCD">
      <w:pPr>
        <w:shd w:val="clear" w:color="auto" w:fill="F2F2F2" w:themeFill="background1" w:themeFillShade="F2"/>
        <w:jc w:val="both"/>
        <w:rPr>
          <w:i/>
          <w:iCs/>
          <w:sz w:val="20"/>
          <w:szCs w:val="20"/>
        </w:rPr>
      </w:pPr>
      <w:r w:rsidRPr="007A7DCD">
        <w:rPr>
          <w:i/>
          <w:iCs/>
          <w:sz w:val="20"/>
          <w:szCs w:val="20"/>
        </w:rPr>
        <w:t>• Ortopedik engeli nedeniyle sürücü belgesi alınamayacağının engellilik sağlık kurulu raporuyla tevsik edilememesi durumunda, bu değerlendirmenin yer aldığı sürücü adayları ve sürücüler için sağlık raporunun bir örneği (elektronik ortamda teyit edilemeyenler için, aslı veya noter onaylı örneği),</w:t>
      </w:r>
    </w:p>
    <w:p w14:paraId="7E5C33CC" w14:textId="77777777" w:rsidR="007A7DCD" w:rsidRPr="007A7DCD" w:rsidRDefault="007A7DCD" w:rsidP="007A7DCD">
      <w:pPr>
        <w:shd w:val="clear" w:color="auto" w:fill="F2F2F2" w:themeFill="background1" w:themeFillShade="F2"/>
        <w:jc w:val="both"/>
        <w:rPr>
          <w:i/>
          <w:iCs/>
          <w:sz w:val="20"/>
          <w:szCs w:val="20"/>
        </w:rPr>
      </w:pPr>
      <w:r w:rsidRPr="007A7DCD">
        <w:rPr>
          <w:i/>
          <w:iCs/>
          <w:sz w:val="20"/>
          <w:szCs w:val="20"/>
        </w:rPr>
        <w:t>• Satış faturasının, aslının aynı olduğu işletme yetkililerince imzalanarak ve kaşe tatbik edilerek onaylanmış fotokopisi,</w:t>
      </w:r>
    </w:p>
    <w:p w14:paraId="323C21B4" w14:textId="77777777" w:rsidR="007A7DCD" w:rsidRPr="007A7DCD" w:rsidRDefault="007A7DCD" w:rsidP="007A7DCD">
      <w:pPr>
        <w:shd w:val="clear" w:color="auto" w:fill="F2F2F2" w:themeFill="background1" w:themeFillShade="F2"/>
        <w:jc w:val="both"/>
        <w:rPr>
          <w:i/>
          <w:iCs/>
          <w:sz w:val="20"/>
          <w:szCs w:val="20"/>
        </w:rPr>
      </w:pPr>
      <w:proofErr w:type="gramStart"/>
      <w:r w:rsidRPr="007A7DCD">
        <w:rPr>
          <w:i/>
          <w:iCs/>
          <w:sz w:val="20"/>
          <w:szCs w:val="20"/>
        </w:rPr>
        <w:t>mükellef</w:t>
      </w:r>
      <w:proofErr w:type="gramEnd"/>
      <w:r w:rsidRPr="007A7DCD">
        <w:rPr>
          <w:i/>
          <w:iCs/>
          <w:sz w:val="20"/>
          <w:szCs w:val="20"/>
        </w:rPr>
        <w:t> tarafından, beyannamenin verildiği vergi dairesine verilir.</w:t>
      </w:r>
    </w:p>
    <w:p w14:paraId="47E5D553" w14:textId="77777777" w:rsidR="007A7DCD" w:rsidRPr="007A7DCD" w:rsidRDefault="007A7DCD" w:rsidP="007A7DCD">
      <w:pPr>
        <w:shd w:val="clear" w:color="auto" w:fill="F2F2F2" w:themeFill="background1" w:themeFillShade="F2"/>
        <w:jc w:val="both"/>
        <w:rPr>
          <w:i/>
          <w:iCs/>
          <w:sz w:val="20"/>
          <w:szCs w:val="20"/>
        </w:rPr>
      </w:pPr>
      <w:r w:rsidRPr="007A7DCD">
        <w:rPr>
          <w:i/>
          <w:iCs/>
          <w:sz w:val="20"/>
          <w:szCs w:val="20"/>
        </w:rPr>
        <w:t>Vergi dairesince beyanname ve söz konusu belgeler incelenerek, engellilik sağlık kurulu raporundaki ortopedik engel oranının %40 ve üzerinde olduğu ve kişinin ortopedik engeli nedeniyle sürücü belgesi alamadığı tespit edilir.</w:t>
      </w:r>
    </w:p>
    <w:p w14:paraId="5735B04F" w14:textId="77777777" w:rsidR="007A7DCD" w:rsidRPr="007A7DCD" w:rsidRDefault="007A7DCD" w:rsidP="007A7DCD">
      <w:pPr>
        <w:shd w:val="clear" w:color="auto" w:fill="F2F2F2" w:themeFill="background1" w:themeFillShade="F2"/>
        <w:jc w:val="both"/>
        <w:rPr>
          <w:i/>
          <w:iCs/>
          <w:sz w:val="20"/>
          <w:szCs w:val="20"/>
        </w:rPr>
      </w:pPr>
      <w:r w:rsidRPr="007A7DCD">
        <w:rPr>
          <w:i/>
          <w:iCs/>
          <w:sz w:val="20"/>
          <w:szCs w:val="20"/>
        </w:rPr>
        <w:t>Ortopedik engel oranı, malul veya engellinin sadece ortopedik engeli bulunması halinde, engellilik sağlık kurulu raporunda belirtilen orandır. Malul veya engellinin ortopedik engeli dışında başka engeli bulunması halinde, istisnadan yararlanılabilmesi için engellilik sağlık kurulu raporunda yer alan ortopedik engel teşhisinin karşısındaki engel oranının %40 ve üzerinde olması gerekir.</w:t>
      </w:r>
    </w:p>
    <w:p w14:paraId="41B9BAC3" w14:textId="77777777" w:rsidR="007A7DCD" w:rsidRPr="007A7DCD" w:rsidRDefault="007A7DCD" w:rsidP="007A7DCD">
      <w:pPr>
        <w:shd w:val="clear" w:color="auto" w:fill="F2F2F2" w:themeFill="background1" w:themeFillShade="F2"/>
        <w:jc w:val="both"/>
        <w:rPr>
          <w:i/>
          <w:iCs/>
          <w:sz w:val="20"/>
          <w:szCs w:val="20"/>
        </w:rPr>
      </w:pPr>
      <w:r w:rsidRPr="007A7DCD">
        <w:rPr>
          <w:i/>
          <w:iCs/>
          <w:sz w:val="20"/>
          <w:szCs w:val="20"/>
        </w:rPr>
        <w:t>Malul veya engellinin engel oranı %40’ın altında birden fazla ortopedik engelinin bulunması halinde, ortopedik engel oranları, Erişkinler İçin Engellilik Değerlendirmesi Hakkında Yönetmelik çerçevesinde belirlenen hesaplama yöntemiyle toplanır. Vergi dairesince, engellilik sağlık kurulu raporundan ortopedik engel oranının tespit edilememesi veya hesaplanamaması halinde raporu düzenleyen hastaneden ortopedik engel oranının %40 ve üzerinde olup olmadığı teyit edilir.</w:t>
      </w:r>
    </w:p>
    <w:p w14:paraId="0D3EB28B" w14:textId="77777777" w:rsidR="007A7DCD" w:rsidRPr="007A7DCD" w:rsidRDefault="007A7DCD" w:rsidP="007A7DCD">
      <w:pPr>
        <w:shd w:val="clear" w:color="auto" w:fill="F2F2F2" w:themeFill="background1" w:themeFillShade="F2"/>
        <w:jc w:val="both"/>
        <w:rPr>
          <w:i/>
          <w:iCs/>
          <w:sz w:val="20"/>
          <w:szCs w:val="20"/>
        </w:rPr>
      </w:pPr>
      <w:r w:rsidRPr="007A7DCD">
        <w:rPr>
          <w:i/>
          <w:iCs/>
          <w:sz w:val="20"/>
          <w:szCs w:val="20"/>
        </w:rPr>
        <w:t>Bu tespitler ve engellilik sağlık kurulu raporunun geçerli ve malul veya engellinin haiz olduğu en son tarihli rapor olduğunun Sağlık Bakanlığının sistemi üzerinden elektronik ortamda teyit edilmesi (bu şekilde teyit edilemeyenlerin ilgili hastaneden/il sağlık müdürlüğünden teyit edilmesi) üzerine, istisna uygulandığını gösteren “ÖTV Ödeme Belgesi” mükellefe verilir.”</w:t>
      </w:r>
    </w:p>
    <w:p w14:paraId="07A4EBA8" w14:textId="395440F5" w:rsidR="007A7DCD" w:rsidRDefault="007A7DCD" w:rsidP="00050B67">
      <w:pPr>
        <w:jc w:val="both"/>
        <w:rPr>
          <w:b/>
          <w:bCs/>
        </w:rPr>
      </w:pPr>
    </w:p>
    <w:p w14:paraId="2949EB7E" w14:textId="2C27AD49" w:rsidR="00AA77FA" w:rsidRPr="00AA77FA" w:rsidRDefault="00AA77FA" w:rsidP="00050B67">
      <w:pPr>
        <w:jc w:val="both"/>
        <w:rPr>
          <w:b/>
          <w:bCs/>
          <w:sz w:val="26"/>
          <w:szCs w:val="26"/>
        </w:rPr>
      </w:pPr>
      <w:r w:rsidRPr="00AA77FA">
        <w:rPr>
          <w:b/>
          <w:bCs/>
          <w:sz w:val="26"/>
          <w:szCs w:val="26"/>
        </w:rPr>
        <w:t>III- 11205 SAYILI CUMHURBAŞKANI KARARI İLE ASYA KALKINMA BANKASI’NDAN ALINAN KREDİLERDE KKDF ORANI SIFIR OLARAK BELİRLENMİŞTİR</w:t>
      </w:r>
    </w:p>
    <w:p w14:paraId="017E6A69" w14:textId="11567D6A" w:rsidR="00AA77FA" w:rsidRDefault="00AA77FA" w:rsidP="00050B67">
      <w:pPr>
        <w:jc w:val="both"/>
      </w:pPr>
      <w:r w:rsidRPr="00AA77FA">
        <w:t xml:space="preserve">25 Nisan 2026 tarihli ve 33234 sayılı Resmî </w:t>
      </w:r>
      <w:proofErr w:type="spellStart"/>
      <w:r w:rsidRPr="00AA77FA">
        <w:t>Gazete’de</w:t>
      </w:r>
      <w:proofErr w:type="spellEnd"/>
      <w:r w:rsidRPr="00AA77FA">
        <w:t xml:space="preserve"> yayımlanan 11205 sayılı Cumhurbaşkanı Kararı </w:t>
      </w:r>
      <w:r>
        <w:t xml:space="preserve">ile </w:t>
      </w:r>
      <w:r w:rsidRPr="00AA77FA">
        <w:t>Bankalar ve finansman şirketleri dışında Türkiye’de yerleşik kişilerin Asya Kalkınma Bankası</w:t>
      </w:r>
      <w:r w:rsidR="00883282">
        <w:t>’</w:t>
      </w:r>
      <w:r w:rsidRPr="00AA77FA">
        <w:t>ndan sağladıkları kredilerde Kaynak Kullanımını Destekleme Fonu kesintisi oranı %0 (sıfır) olarak tespit edilmiştir.</w:t>
      </w:r>
    </w:p>
    <w:p w14:paraId="388EDBA1" w14:textId="4B8234C6" w:rsidR="00AA77FA" w:rsidRPr="00AA77FA" w:rsidRDefault="00AA77FA" w:rsidP="00050B67">
      <w:pPr>
        <w:jc w:val="both"/>
      </w:pPr>
      <w:r>
        <w:t>Söz konusu Karar yayımı tarihinde yürürlüğe girmiştir.</w:t>
      </w:r>
    </w:p>
    <w:sectPr w:rsidR="00AA77FA" w:rsidRPr="00AA77F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7471" w14:textId="77777777" w:rsidR="00F532B3" w:rsidRDefault="00F532B3" w:rsidP="007003D0">
      <w:pPr>
        <w:spacing w:after="0" w:line="240" w:lineRule="auto"/>
      </w:pPr>
      <w:r>
        <w:separator/>
      </w:r>
    </w:p>
  </w:endnote>
  <w:endnote w:type="continuationSeparator" w:id="0">
    <w:p w14:paraId="4D3D637E" w14:textId="77777777" w:rsidR="00F532B3" w:rsidRDefault="00F532B3"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710865"/>
      <w:docPartObj>
        <w:docPartGallery w:val="Page Numbers (Bottom of Page)"/>
        <w:docPartUnique/>
      </w:docPartObj>
    </w:sdtPr>
    <w:sdtEndPr/>
    <w:sdtContent>
      <w:p w14:paraId="4D23C62E" w14:textId="2BAB199C" w:rsidR="001B5A89" w:rsidRDefault="001B5A89">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FD39" w14:textId="77777777" w:rsidR="00F532B3" w:rsidRDefault="00F532B3" w:rsidP="007003D0">
      <w:pPr>
        <w:spacing w:after="0" w:line="240" w:lineRule="auto"/>
      </w:pPr>
      <w:r>
        <w:separator/>
      </w:r>
    </w:p>
  </w:footnote>
  <w:footnote w:type="continuationSeparator" w:id="0">
    <w:p w14:paraId="250ECDDE" w14:textId="77777777" w:rsidR="00F532B3" w:rsidRDefault="00F532B3"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1B43A6DB" w14:textId="741A5B29" w:rsidR="00663642" w:rsidRDefault="00663642">
    <w:pPr>
      <w:pStyle w:val="stBilgi"/>
    </w:pPr>
    <w:r w:rsidRPr="00F22779">
      <w:rPr>
        <w:b/>
        <w:bCs/>
      </w:rPr>
      <w:object w:dxaOrig="9042" w:dyaOrig="1927" w14:anchorId="70186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38797240"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31"/>
    <w:multiLevelType w:val="multilevel"/>
    <w:tmpl w:val="00CC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0B6BC3"/>
    <w:multiLevelType w:val="multilevel"/>
    <w:tmpl w:val="AA1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337652">
    <w:abstractNumId w:val="1"/>
  </w:num>
  <w:num w:numId="2" w16cid:durableId="90691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03B7B"/>
    <w:rsid w:val="00006AE2"/>
    <w:rsid w:val="00011D63"/>
    <w:rsid w:val="00014AF0"/>
    <w:rsid w:val="00014CD2"/>
    <w:rsid w:val="00014E9C"/>
    <w:rsid w:val="00030A9B"/>
    <w:rsid w:val="000374B8"/>
    <w:rsid w:val="000416B1"/>
    <w:rsid w:val="00043BFC"/>
    <w:rsid w:val="00045BC8"/>
    <w:rsid w:val="00050B67"/>
    <w:rsid w:val="000709FF"/>
    <w:rsid w:val="0009737A"/>
    <w:rsid w:val="000B7C5F"/>
    <w:rsid w:val="000C0E6A"/>
    <w:rsid w:val="000C5B9B"/>
    <w:rsid w:val="000D7C9A"/>
    <w:rsid w:val="000D7CF4"/>
    <w:rsid w:val="00116523"/>
    <w:rsid w:val="0012570F"/>
    <w:rsid w:val="00132AC8"/>
    <w:rsid w:val="0013498C"/>
    <w:rsid w:val="001354C0"/>
    <w:rsid w:val="001418FB"/>
    <w:rsid w:val="0015010B"/>
    <w:rsid w:val="001634AC"/>
    <w:rsid w:val="001644DF"/>
    <w:rsid w:val="00170C3E"/>
    <w:rsid w:val="00180E72"/>
    <w:rsid w:val="00182305"/>
    <w:rsid w:val="001A0AA6"/>
    <w:rsid w:val="001A5921"/>
    <w:rsid w:val="001A6BFC"/>
    <w:rsid w:val="001B5A89"/>
    <w:rsid w:val="001C547C"/>
    <w:rsid w:val="001C61D3"/>
    <w:rsid w:val="001D0AD4"/>
    <w:rsid w:val="001D4559"/>
    <w:rsid w:val="001D6927"/>
    <w:rsid w:val="001E3DEF"/>
    <w:rsid w:val="001F3D74"/>
    <w:rsid w:val="00213727"/>
    <w:rsid w:val="00214B7E"/>
    <w:rsid w:val="0022777D"/>
    <w:rsid w:val="0023532A"/>
    <w:rsid w:val="00235A96"/>
    <w:rsid w:val="00263869"/>
    <w:rsid w:val="0029204E"/>
    <w:rsid w:val="0029694B"/>
    <w:rsid w:val="002A1B76"/>
    <w:rsid w:val="002A3F6C"/>
    <w:rsid w:val="002B009F"/>
    <w:rsid w:val="002B0E91"/>
    <w:rsid w:val="002B5D54"/>
    <w:rsid w:val="002B762C"/>
    <w:rsid w:val="002B7C55"/>
    <w:rsid w:val="002C35D3"/>
    <w:rsid w:val="002D34D6"/>
    <w:rsid w:val="002D40A4"/>
    <w:rsid w:val="00303EDC"/>
    <w:rsid w:val="0030464E"/>
    <w:rsid w:val="0030595C"/>
    <w:rsid w:val="00342AB1"/>
    <w:rsid w:val="00353D7A"/>
    <w:rsid w:val="00383C62"/>
    <w:rsid w:val="003867F1"/>
    <w:rsid w:val="00394174"/>
    <w:rsid w:val="003A0090"/>
    <w:rsid w:val="003A7505"/>
    <w:rsid w:val="003C4CF1"/>
    <w:rsid w:val="003F0949"/>
    <w:rsid w:val="003F298E"/>
    <w:rsid w:val="00420441"/>
    <w:rsid w:val="00421AB4"/>
    <w:rsid w:val="00425837"/>
    <w:rsid w:val="00425FA8"/>
    <w:rsid w:val="00426931"/>
    <w:rsid w:val="00426C96"/>
    <w:rsid w:val="004441E3"/>
    <w:rsid w:val="00444503"/>
    <w:rsid w:val="00445B03"/>
    <w:rsid w:val="00450DDA"/>
    <w:rsid w:val="00453A55"/>
    <w:rsid w:val="00464DBE"/>
    <w:rsid w:val="00472BCE"/>
    <w:rsid w:val="00474CDF"/>
    <w:rsid w:val="00476491"/>
    <w:rsid w:val="004804CD"/>
    <w:rsid w:val="00485F25"/>
    <w:rsid w:val="00492CE7"/>
    <w:rsid w:val="00494F05"/>
    <w:rsid w:val="00495317"/>
    <w:rsid w:val="00495F8D"/>
    <w:rsid w:val="004A431D"/>
    <w:rsid w:val="004A60D5"/>
    <w:rsid w:val="004B67FD"/>
    <w:rsid w:val="004C15BD"/>
    <w:rsid w:val="004F1482"/>
    <w:rsid w:val="004F274B"/>
    <w:rsid w:val="004F65BF"/>
    <w:rsid w:val="004F7FE2"/>
    <w:rsid w:val="00505303"/>
    <w:rsid w:val="00515BE9"/>
    <w:rsid w:val="0052148C"/>
    <w:rsid w:val="00542935"/>
    <w:rsid w:val="00543F90"/>
    <w:rsid w:val="00557D5A"/>
    <w:rsid w:val="00557E4C"/>
    <w:rsid w:val="00561EE5"/>
    <w:rsid w:val="00562478"/>
    <w:rsid w:val="0056375C"/>
    <w:rsid w:val="00583270"/>
    <w:rsid w:val="00585114"/>
    <w:rsid w:val="0059231A"/>
    <w:rsid w:val="005C4369"/>
    <w:rsid w:val="005C4AC8"/>
    <w:rsid w:val="005C7C4B"/>
    <w:rsid w:val="005E3112"/>
    <w:rsid w:val="005E3EB7"/>
    <w:rsid w:val="005E4AD6"/>
    <w:rsid w:val="00612AEC"/>
    <w:rsid w:val="0061346C"/>
    <w:rsid w:val="006138E7"/>
    <w:rsid w:val="00627209"/>
    <w:rsid w:val="006301D2"/>
    <w:rsid w:val="00643AB9"/>
    <w:rsid w:val="0064585D"/>
    <w:rsid w:val="00663642"/>
    <w:rsid w:val="00665873"/>
    <w:rsid w:val="00667D75"/>
    <w:rsid w:val="00672D59"/>
    <w:rsid w:val="00685C76"/>
    <w:rsid w:val="00691FAA"/>
    <w:rsid w:val="006927D4"/>
    <w:rsid w:val="00692CBE"/>
    <w:rsid w:val="00695C77"/>
    <w:rsid w:val="006A047E"/>
    <w:rsid w:val="006A62A7"/>
    <w:rsid w:val="006A6734"/>
    <w:rsid w:val="006D6C76"/>
    <w:rsid w:val="006E0945"/>
    <w:rsid w:val="006E1C38"/>
    <w:rsid w:val="007003D0"/>
    <w:rsid w:val="007079A4"/>
    <w:rsid w:val="00732335"/>
    <w:rsid w:val="0073319E"/>
    <w:rsid w:val="00736681"/>
    <w:rsid w:val="007407C6"/>
    <w:rsid w:val="007536B4"/>
    <w:rsid w:val="007665E9"/>
    <w:rsid w:val="00772AD6"/>
    <w:rsid w:val="007805B7"/>
    <w:rsid w:val="0078325B"/>
    <w:rsid w:val="00791A42"/>
    <w:rsid w:val="00794D3A"/>
    <w:rsid w:val="007A7126"/>
    <w:rsid w:val="007A7DCD"/>
    <w:rsid w:val="007B1FD8"/>
    <w:rsid w:val="007B2C46"/>
    <w:rsid w:val="007B3614"/>
    <w:rsid w:val="007B39B0"/>
    <w:rsid w:val="007D0311"/>
    <w:rsid w:val="007D2233"/>
    <w:rsid w:val="007D3B65"/>
    <w:rsid w:val="007E2DE5"/>
    <w:rsid w:val="007F007A"/>
    <w:rsid w:val="007F6D9F"/>
    <w:rsid w:val="00804DE0"/>
    <w:rsid w:val="00806176"/>
    <w:rsid w:val="0080750F"/>
    <w:rsid w:val="0081240B"/>
    <w:rsid w:val="00816991"/>
    <w:rsid w:val="00823EC2"/>
    <w:rsid w:val="00830A20"/>
    <w:rsid w:val="00853A08"/>
    <w:rsid w:val="0085407E"/>
    <w:rsid w:val="008613D5"/>
    <w:rsid w:val="00861E56"/>
    <w:rsid w:val="00876289"/>
    <w:rsid w:val="008812B7"/>
    <w:rsid w:val="00883282"/>
    <w:rsid w:val="008A1CCA"/>
    <w:rsid w:val="008A5053"/>
    <w:rsid w:val="008B7880"/>
    <w:rsid w:val="008C3008"/>
    <w:rsid w:val="008D17B7"/>
    <w:rsid w:val="008D3C1B"/>
    <w:rsid w:val="008D4CC4"/>
    <w:rsid w:val="008E34E8"/>
    <w:rsid w:val="008E667E"/>
    <w:rsid w:val="008F06CC"/>
    <w:rsid w:val="008F795C"/>
    <w:rsid w:val="0090116E"/>
    <w:rsid w:val="00904D67"/>
    <w:rsid w:val="00914842"/>
    <w:rsid w:val="009310E9"/>
    <w:rsid w:val="009409B3"/>
    <w:rsid w:val="00943556"/>
    <w:rsid w:val="00956F11"/>
    <w:rsid w:val="00971946"/>
    <w:rsid w:val="00982D0B"/>
    <w:rsid w:val="00982FE7"/>
    <w:rsid w:val="009A7296"/>
    <w:rsid w:val="009B0041"/>
    <w:rsid w:val="009B6807"/>
    <w:rsid w:val="009C6C94"/>
    <w:rsid w:val="009E4AE3"/>
    <w:rsid w:val="009F542D"/>
    <w:rsid w:val="009F5E6A"/>
    <w:rsid w:val="00A200BA"/>
    <w:rsid w:val="00A3474F"/>
    <w:rsid w:val="00A41F8F"/>
    <w:rsid w:val="00A4346F"/>
    <w:rsid w:val="00A54304"/>
    <w:rsid w:val="00A75F35"/>
    <w:rsid w:val="00A7652F"/>
    <w:rsid w:val="00A86B1E"/>
    <w:rsid w:val="00A86D20"/>
    <w:rsid w:val="00A87141"/>
    <w:rsid w:val="00A905E3"/>
    <w:rsid w:val="00A94874"/>
    <w:rsid w:val="00A962D3"/>
    <w:rsid w:val="00AA77FA"/>
    <w:rsid w:val="00AC084A"/>
    <w:rsid w:val="00AC1960"/>
    <w:rsid w:val="00AD2A55"/>
    <w:rsid w:val="00AE5B03"/>
    <w:rsid w:val="00B02216"/>
    <w:rsid w:val="00B13552"/>
    <w:rsid w:val="00B15870"/>
    <w:rsid w:val="00B33B2D"/>
    <w:rsid w:val="00B510BA"/>
    <w:rsid w:val="00B559CB"/>
    <w:rsid w:val="00B7114A"/>
    <w:rsid w:val="00B95798"/>
    <w:rsid w:val="00BB3F8E"/>
    <w:rsid w:val="00BB59B1"/>
    <w:rsid w:val="00BC27A0"/>
    <w:rsid w:val="00BE26A6"/>
    <w:rsid w:val="00BE2838"/>
    <w:rsid w:val="00BF6A93"/>
    <w:rsid w:val="00BF7F58"/>
    <w:rsid w:val="00C03A92"/>
    <w:rsid w:val="00C10F40"/>
    <w:rsid w:val="00C1105C"/>
    <w:rsid w:val="00C17774"/>
    <w:rsid w:val="00C2035C"/>
    <w:rsid w:val="00C23507"/>
    <w:rsid w:val="00C23533"/>
    <w:rsid w:val="00C26013"/>
    <w:rsid w:val="00C321FF"/>
    <w:rsid w:val="00C352D2"/>
    <w:rsid w:val="00C41956"/>
    <w:rsid w:val="00C479EF"/>
    <w:rsid w:val="00C5070C"/>
    <w:rsid w:val="00C604ED"/>
    <w:rsid w:val="00C60D77"/>
    <w:rsid w:val="00C704B4"/>
    <w:rsid w:val="00C70FDD"/>
    <w:rsid w:val="00C717C9"/>
    <w:rsid w:val="00C71843"/>
    <w:rsid w:val="00C81E5F"/>
    <w:rsid w:val="00C84DA7"/>
    <w:rsid w:val="00CB0C60"/>
    <w:rsid w:val="00CB70E5"/>
    <w:rsid w:val="00CC17F9"/>
    <w:rsid w:val="00CC2CDB"/>
    <w:rsid w:val="00CD137F"/>
    <w:rsid w:val="00CD45F0"/>
    <w:rsid w:val="00CE7F96"/>
    <w:rsid w:val="00CF640B"/>
    <w:rsid w:val="00D17D51"/>
    <w:rsid w:val="00D219A9"/>
    <w:rsid w:val="00D456C5"/>
    <w:rsid w:val="00D50329"/>
    <w:rsid w:val="00D5205A"/>
    <w:rsid w:val="00D533FF"/>
    <w:rsid w:val="00D60273"/>
    <w:rsid w:val="00D63063"/>
    <w:rsid w:val="00D64C24"/>
    <w:rsid w:val="00D72F8B"/>
    <w:rsid w:val="00D806AB"/>
    <w:rsid w:val="00D949EB"/>
    <w:rsid w:val="00D95B71"/>
    <w:rsid w:val="00DA456F"/>
    <w:rsid w:val="00DA5A39"/>
    <w:rsid w:val="00DC7932"/>
    <w:rsid w:val="00DD2892"/>
    <w:rsid w:val="00DE2DA2"/>
    <w:rsid w:val="00DE6267"/>
    <w:rsid w:val="00DE7E4F"/>
    <w:rsid w:val="00E20A8C"/>
    <w:rsid w:val="00E223CF"/>
    <w:rsid w:val="00E254C2"/>
    <w:rsid w:val="00E31B81"/>
    <w:rsid w:val="00E42496"/>
    <w:rsid w:val="00E46084"/>
    <w:rsid w:val="00E562FA"/>
    <w:rsid w:val="00E74976"/>
    <w:rsid w:val="00E7767F"/>
    <w:rsid w:val="00E8150F"/>
    <w:rsid w:val="00E82870"/>
    <w:rsid w:val="00E839B7"/>
    <w:rsid w:val="00E87CC1"/>
    <w:rsid w:val="00EA5747"/>
    <w:rsid w:val="00EB0CFF"/>
    <w:rsid w:val="00EB2EEF"/>
    <w:rsid w:val="00EB696B"/>
    <w:rsid w:val="00EE433F"/>
    <w:rsid w:val="00EE4875"/>
    <w:rsid w:val="00F128E2"/>
    <w:rsid w:val="00F17BC6"/>
    <w:rsid w:val="00F201D9"/>
    <w:rsid w:val="00F261A5"/>
    <w:rsid w:val="00F31A4E"/>
    <w:rsid w:val="00F349BB"/>
    <w:rsid w:val="00F374AF"/>
    <w:rsid w:val="00F44BE8"/>
    <w:rsid w:val="00F46CA4"/>
    <w:rsid w:val="00F532B3"/>
    <w:rsid w:val="00F67F02"/>
    <w:rsid w:val="00F739C3"/>
    <w:rsid w:val="00FA6DC4"/>
    <w:rsid w:val="00FB18D5"/>
    <w:rsid w:val="00FC1BE4"/>
    <w:rsid w:val="00FC3973"/>
    <w:rsid w:val="00FC58B1"/>
    <w:rsid w:val="00FD1FA5"/>
    <w:rsid w:val="00FD2425"/>
    <w:rsid w:val="00FD3828"/>
    <w:rsid w:val="00FE4157"/>
    <w:rsid w:val="00FF378E"/>
    <w:rsid w:val="00FF3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977E"/>
  <w15:chartTrackingRefBased/>
  <w15:docId w15:val="{0F34C7FE-D584-4A09-8C16-D692D3CA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 w:type="paragraph" w:styleId="NormalWeb">
    <w:name w:val="Normal (Web)"/>
    <w:basedOn w:val="Normal"/>
    <w:uiPriority w:val="99"/>
    <w:semiHidden/>
    <w:unhideWhenUsed/>
    <w:rsid w:val="008F0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2009</TotalTime>
  <Pages>3</Pages>
  <Words>1286</Words>
  <Characters>7336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26</cp:revision>
  <dcterms:created xsi:type="dcterms:W3CDTF">2025-12-19T13:27:00Z</dcterms:created>
  <dcterms:modified xsi:type="dcterms:W3CDTF">2026-04-27T09:14:00Z</dcterms:modified>
</cp:coreProperties>
</file>