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3A3E224B" w:rsidR="00F44BE8" w:rsidRDefault="00FD0B44" w:rsidP="00F44BE8">
      <w:pPr>
        <w:spacing w:after="0" w:line="240" w:lineRule="auto"/>
        <w:jc w:val="center"/>
        <w:rPr>
          <w:b/>
          <w:bCs/>
          <w:sz w:val="32"/>
          <w:szCs w:val="32"/>
        </w:rPr>
      </w:pPr>
      <w:r>
        <w:rPr>
          <w:b/>
          <w:bCs/>
          <w:sz w:val="32"/>
          <w:szCs w:val="32"/>
        </w:rPr>
        <w:t>VERGİ MEVZUATINDAKİ GELİŞMELER</w:t>
      </w:r>
      <w:r w:rsidR="00672D59" w:rsidRPr="00FC7ED4">
        <w:rPr>
          <w:b/>
          <w:bCs/>
          <w:sz w:val="32"/>
          <w:szCs w:val="32"/>
        </w:rPr>
        <w:t xml:space="preserve"> 202</w:t>
      </w:r>
      <w:r w:rsidR="00672D59">
        <w:rPr>
          <w:b/>
          <w:bCs/>
          <w:sz w:val="32"/>
          <w:szCs w:val="32"/>
        </w:rPr>
        <w:t>6</w:t>
      </w:r>
      <w:r w:rsidR="00672D59" w:rsidRPr="00FC7ED4">
        <w:rPr>
          <w:b/>
          <w:bCs/>
          <w:sz w:val="32"/>
          <w:szCs w:val="32"/>
        </w:rPr>
        <w:t>/</w:t>
      </w:r>
      <w:r>
        <w:rPr>
          <w:b/>
          <w:bCs/>
          <w:sz w:val="32"/>
          <w:szCs w:val="32"/>
        </w:rPr>
        <w:t>NİSAN-</w:t>
      </w:r>
      <w:r w:rsidR="000D7C9A">
        <w:rPr>
          <w:b/>
          <w:bCs/>
          <w:sz w:val="32"/>
          <w:szCs w:val="32"/>
        </w:rPr>
        <w:t>1</w:t>
      </w:r>
    </w:p>
    <w:p w14:paraId="2235D047" w14:textId="590F738B" w:rsidR="00F44BE8" w:rsidRDefault="00672D59" w:rsidP="00F44BE8">
      <w:pPr>
        <w:spacing w:after="0" w:line="240" w:lineRule="auto"/>
        <w:jc w:val="center"/>
        <w:rPr>
          <w:b/>
          <w:bCs/>
          <w:sz w:val="18"/>
          <w:szCs w:val="18"/>
        </w:rPr>
      </w:pPr>
      <w:r w:rsidRPr="00B54EDB">
        <w:rPr>
          <w:b/>
          <w:bCs/>
          <w:sz w:val="18"/>
          <w:szCs w:val="18"/>
        </w:rPr>
        <w:t>(</w:t>
      </w:r>
      <w:r w:rsidR="00D456C5">
        <w:rPr>
          <w:b/>
          <w:bCs/>
          <w:sz w:val="18"/>
          <w:szCs w:val="18"/>
        </w:rPr>
        <w:t>10</w:t>
      </w:r>
      <w:r w:rsidR="00472BCE">
        <w:rPr>
          <w:b/>
          <w:bCs/>
          <w:sz w:val="18"/>
          <w:szCs w:val="18"/>
        </w:rPr>
        <w:t>.0</w:t>
      </w:r>
      <w:r w:rsidR="00D456C5">
        <w:rPr>
          <w:b/>
          <w:bCs/>
          <w:sz w:val="18"/>
          <w:szCs w:val="18"/>
        </w:rPr>
        <w:t>4</w:t>
      </w:r>
      <w:r>
        <w:rPr>
          <w:b/>
          <w:bCs/>
          <w:sz w:val="18"/>
          <w:szCs w:val="18"/>
        </w:rPr>
        <w:t>.2026</w:t>
      </w:r>
      <w:r w:rsidR="00C60D77">
        <w:rPr>
          <w:b/>
          <w:bCs/>
          <w:sz w:val="18"/>
          <w:szCs w:val="18"/>
        </w:rPr>
        <w:t>-</w:t>
      </w:r>
      <w:r w:rsidR="000D7C9A">
        <w:rPr>
          <w:b/>
          <w:bCs/>
          <w:sz w:val="18"/>
          <w:szCs w:val="18"/>
        </w:rPr>
        <w:t>17</w:t>
      </w:r>
      <w:r w:rsidR="00C60D77">
        <w:rPr>
          <w:b/>
          <w:bCs/>
          <w:sz w:val="18"/>
          <w:szCs w:val="18"/>
        </w:rPr>
        <w:t>.0</w:t>
      </w:r>
      <w:r w:rsidR="000D7C9A">
        <w:rPr>
          <w:b/>
          <w:bCs/>
          <w:sz w:val="18"/>
          <w:szCs w:val="18"/>
        </w:rPr>
        <w:t>4</w:t>
      </w:r>
      <w:r w:rsidR="00C60D77">
        <w:rPr>
          <w:b/>
          <w:bCs/>
          <w:sz w:val="18"/>
          <w:szCs w:val="18"/>
        </w:rPr>
        <w:t>.2026</w:t>
      </w:r>
      <w:r w:rsidRPr="00B54EDB">
        <w:rPr>
          <w:b/>
          <w:bCs/>
          <w:sz w:val="18"/>
          <w:szCs w:val="18"/>
        </w:rPr>
        <w:t>)</w:t>
      </w:r>
    </w:p>
    <w:p w14:paraId="6A5FB738" w14:textId="77777777" w:rsidR="00C23507" w:rsidRDefault="00C23507"/>
    <w:p w14:paraId="48FA8CD8" w14:textId="670B1426" w:rsidR="00472BCE" w:rsidRPr="00182305" w:rsidRDefault="000374B8" w:rsidP="000374B8">
      <w:pPr>
        <w:jc w:val="both"/>
      </w:pPr>
      <w:r>
        <w:rPr>
          <w:b/>
          <w:bCs/>
          <w:sz w:val="26"/>
          <w:szCs w:val="26"/>
        </w:rPr>
        <w:t xml:space="preserve">I- </w:t>
      </w:r>
      <w:r w:rsidR="00D456C5">
        <w:rPr>
          <w:b/>
          <w:bCs/>
          <w:sz w:val="26"/>
          <w:szCs w:val="26"/>
        </w:rPr>
        <w:t>2026 YILI I. GEÇİCİ VERGİLENDİRME DÖNEMİNDE UYGULANACAK YENİDEN DEĞERLEME ORANI BELİRLENMİŞTİR</w:t>
      </w:r>
    </w:p>
    <w:p w14:paraId="19296ACB" w14:textId="68C6FEC2" w:rsidR="00D456C5" w:rsidRDefault="00D456C5" w:rsidP="00050B67">
      <w:pPr>
        <w:jc w:val="both"/>
      </w:pPr>
      <w:r>
        <w:t>Hazine ve Maliye Bakanlığı Gelir İdaresi Başkanlığı’nın 10.04.2026 tarihinde yayımladığı 72 numaralı Kurumlar Vergisi Kanunu Sirküleri ile “</w:t>
      </w:r>
      <w:r w:rsidRPr="00D456C5">
        <w:rPr>
          <w:b/>
          <w:bCs/>
        </w:rPr>
        <w:t xml:space="preserve">Vergi Usul Kanunu’nun mükerrer 298’nci maddesinin (B) fıkrasına istinaden 2026 yılı birinci geçici vergi döneminde uygulanacak yeniden değerleme oranı %4,19 (yüzde dört virgül </w:t>
      </w:r>
      <w:proofErr w:type="spellStart"/>
      <w:r w:rsidRPr="00D456C5">
        <w:rPr>
          <w:b/>
          <w:bCs/>
        </w:rPr>
        <w:t>ondokuz</w:t>
      </w:r>
      <w:proofErr w:type="spellEnd"/>
      <w:r w:rsidRPr="00D456C5">
        <w:rPr>
          <w:b/>
          <w:bCs/>
        </w:rPr>
        <w:t>) olarak tespit edilmiştir.</w:t>
      </w:r>
      <w:r w:rsidRPr="00D456C5">
        <w:t>”</w:t>
      </w:r>
    </w:p>
    <w:p w14:paraId="4F6FA7B8" w14:textId="77777777" w:rsidR="00D456C5" w:rsidRDefault="00D456C5" w:rsidP="00050B67">
      <w:pPr>
        <w:jc w:val="both"/>
      </w:pPr>
    </w:p>
    <w:p w14:paraId="14A37E0D" w14:textId="1C5B71BE" w:rsidR="00D456C5" w:rsidRPr="00E31B81" w:rsidRDefault="00D456C5" w:rsidP="00050B67">
      <w:pPr>
        <w:jc w:val="both"/>
        <w:rPr>
          <w:b/>
          <w:bCs/>
          <w:sz w:val="26"/>
          <w:szCs w:val="26"/>
        </w:rPr>
      </w:pPr>
      <w:r w:rsidRPr="00E31B81">
        <w:rPr>
          <w:b/>
          <w:bCs/>
          <w:sz w:val="26"/>
          <w:szCs w:val="26"/>
        </w:rPr>
        <w:t xml:space="preserve">II- </w:t>
      </w:r>
      <w:r w:rsidR="00E31B81" w:rsidRPr="00E31B81">
        <w:rPr>
          <w:b/>
          <w:bCs/>
          <w:sz w:val="26"/>
          <w:szCs w:val="26"/>
        </w:rPr>
        <w:t xml:space="preserve">KAMU GÖZETİMİ, MUHASEBE VE DENETİM STANDARTLARI KURUMU’NUN </w:t>
      </w:r>
      <w:r w:rsidR="00E31B81" w:rsidRPr="00E31B81">
        <w:rPr>
          <w:rFonts w:cstheme="minorHAnsi"/>
          <w:b/>
          <w:bCs/>
          <w:sz w:val="26"/>
          <w:szCs w:val="26"/>
        </w:rPr>
        <w:t>“YÜKSEK ENFLASYONLU SUNUM PARA BİRİMİNE ÇEVRİM” BAŞLIKLI KURUL KARARI YAYIMLANMIŞTIR</w:t>
      </w:r>
    </w:p>
    <w:p w14:paraId="64CB4051" w14:textId="780D3BFF" w:rsidR="00D456C5" w:rsidRDefault="00D456C5" w:rsidP="00050B67">
      <w:pPr>
        <w:jc w:val="both"/>
      </w:pPr>
      <w:r>
        <w:t>Kamu Gözetimi, Muhasebe ve Denetim Standartları Kurumu’nun</w:t>
      </w:r>
      <w:r w:rsidR="00E31B81">
        <w:t xml:space="preserve"> 03.04.2026 tarihli ve 75935942-050.01.04</w:t>
      </w:r>
      <w:proofErr w:type="gramStart"/>
      <w:r w:rsidR="00E31B81">
        <w:t>-</w:t>
      </w:r>
      <w:r w:rsidR="00E31B81">
        <w:rPr>
          <w:rFonts w:cstheme="minorHAnsi"/>
        </w:rPr>
        <w:t>[</w:t>
      </w:r>
      <w:proofErr w:type="gramEnd"/>
      <w:r w:rsidR="00E31B81">
        <w:rPr>
          <w:rFonts w:cstheme="minorHAnsi"/>
        </w:rPr>
        <w:t xml:space="preserve">01/41488] sayılı “Yüksek Enflasyonlu Sunum Para Birimine Çevrim” başlıklı Kurul Kararı, </w:t>
      </w:r>
      <w:r>
        <w:t xml:space="preserve">14 Nisan 2026 tarihli ve 33224 sayılı Resmî </w:t>
      </w:r>
      <w:proofErr w:type="spellStart"/>
      <w:r>
        <w:t>Gazete’de</w:t>
      </w:r>
      <w:proofErr w:type="spellEnd"/>
      <w:r>
        <w:t xml:space="preserve"> yayımlanmıştır.</w:t>
      </w:r>
    </w:p>
    <w:p w14:paraId="61013772" w14:textId="77192DD5" w:rsidR="00E31B81" w:rsidRDefault="00E31B81" w:rsidP="00050B67">
      <w:pPr>
        <w:jc w:val="both"/>
      </w:pPr>
      <w:r>
        <w:t xml:space="preserve">Söz konusu Kurul Kararına 14 Nisan 2026 tarihli ve 33224 sayılı Resmî </w:t>
      </w:r>
      <w:proofErr w:type="spellStart"/>
      <w:r>
        <w:t>Gazete’den</w:t>
      </w:r>
      <w:proofErr w:type="spellEnd"/>
      <w:r>
        <w:t xml:space="preserve"> ulaşmak mümkündür.</w:t>
      </w:r>
    </w:p>
    <w:p w14:paraId="51FD7252" w14:textId="3F33D7E8" w:rsidR="00E31B81" w:rsidRDefault="00E31B81" w:rsidP="00050B67">
      <w:pPr>
        <w:jc w:val="both"/>
      </w:pPr>
      <w:hyperlink r:id="rId7" w:history="1">
        <w:r w:rsidRPr="00552490">
          <w:rPr>
            <w:rStyle w:val="Kpr"/>
          </w:rPr>
          <w:t>https://www.resmigazete.gov.tr/eskiler/2026/04/20260414-4.pdf</w:t>
        </w:r>
      </w:hyperlink>
    </w:p>
    <w:p w14:paraId="2E64D91F" w14:textId="77777777" w:rsidR="00E31B81" w:rsidRDefault="00E31B81" w:rsidP="00050B67">
      <w:pPr>
        <w:jc w:val="both"/>
      </w:pPr>
    </w:p>
    <w:p w14:paraId="068E50C8" w14:textId="403FFF15" w:rsidR="00D456C5" w:rsidRPr="00E31B81" w:rsidRDefault="00E31B81" w:rsidP="00050B67">
      <w:pPr>
        <w:jc w:val="both"/>
        <w:rPr>
          <w:b/>
          <w:bCs/>
          <w:sz w:val="26"/>
          <w:szCs w:val="26"/>
        </w:rPr>
      </w:pPr>
      <w:r w:rsidRPr="00E31B81">
        <w:rPr>
          <w:b/>
          <w:bCs/>
          <w:sz w:val="26"/>
          <w:szCs w:val="26"/>
        </w:rPr>
        <w:t>III- 7577 SAYILI KANUNLA GELİR, KURUMLAR VE KATMA DEĞER VERGİSİ KANUNLARINDA BAZI DEĞİŞİKLİKLER YAPI</w:t>
      </w:r>
      <w:r w:rsidR="00816991">
        <w:rPr>
          <w:b/>
          <w:bCs/>
          <w:sz w:val="26"/>
          <w:szCs w:val="26"/>
        </w:rPr>
        <w:t>L</w:t>
      </w:r>
      <w:r w:rsidRPr="00E31B81">
        <w:rPr>
          <w:b/>
          <w:bCs/>
          <w:sz w:val="26"/>
          <w:szCs w:val="26"/>
        </w:rPr>
        <w:t>MIŞTIR</w:t>
      </w:r>
    </w:p>
    <w:p w14:paraId="7784C3D2" w14:textId="53EDA9B8" w:rsidR="00E31B81" w:rsidRDefault="00E31B81" w:rsidP="00050B67">
      <w:pPr>
        <w:jc w:val="both"/>
      </w:pPr>
      <w:r>
        <w:t xml:space="preserve">17 Nisan 2026 tarihli ve 33227 sayılı Resmî </w:t>
      </w:r>
      <w:proofErr w:type="spellStart"/>
      <w:r>
        <w:t>Gazete’de</w:t>
      </w:r>
      <w:proofErr w:type="spellEnd"/>
      <w:r>
        <w:t xml:space="preserve"> yayımlanan 7577 sayılı Kanun ile Gelir, Kurumlar ve Katma Değer Vergisi Kanunlarında bazı değişiklikler yapılmıştır. Bu değişiklikler aşağıdaki gibidir:</w:t>
      </w:r>
    </w:p>
    <w:p w14:paraId="6BF21019" w14:textId="569719F1" w:rsidR="00E31B81" w:rsidRPr="00453A55" w:rsidRDefault="00E31B81" w:rsidP="00050B67">
      <w:pPr>
        <w:jc w:val="both"/>
        <w:rPr>
          <w:b/>
          <w:bCs/>
          <w:sz w:val="24"/>
          <w:szCs w:val="24"/>
        </w:rPr>
      </w:pPr>
      <w:r w:rsidRPr="00453A55">
        <w:rPr>
          <w:b/>
          <w:bCs/>
          <w:sz w:val="24"/>
          <w:szCs w:val="24"/>
        </w:rPr>
        <w:t>A</w:t>
      </w:r>
      <w:r w:rsidR="00453A55" w:rsidRPr="00453A55">
        <w:rPr>
          <w:b/>
          <w:bCs/>
          <w:sz w:val="24"/>
          <w:szCs w:val="24"/>
        </w:rPr>
        <w:t>- Gelir Vergisi Kanunu’nun 41’inci Maddesine İlave Hüküm Getirilmiştir:</w:t>
      </w:r>
    </w:p>
    <w:p w14:paraId="0A1C1D30" w14:textId="667B49A2" w:rsidR="00453A55" w:rsidRPr="00453A55" w:rsidRDefault="00453A55" w:rsidP="00453A55">
      <w:pPr>
        <w:jc w:val="both"/>
      </w:pPr>
      <w:r w:rsidRPr="00453A55">
        <w:t>7577 sayılı Kanunun 1. maddesiyle, Gelir Vergisi Kanunu’nun 41</w:t>
      </w:r>
      <w:r>
        <w:t>’</w:t>
      </w:r>
      <w:r w:rsidRPr="00453A55">
        <w:t>inci maddesinin birinci fıkrasına aşağıdaki bent eklenmiştir</w:t>
      </w:r>
      <w:r>
        <w:t>:</w:t>
      </w:r>
    </w:p>
    <w:p w14:paraId="73985F39" w14:textId="77777777" w:rsidR="00453A55" w:rsidRPr="00453A55" w:rsidRDefault="00453A55" w:rsidP="00453A55">
      <w:pPr>
        <w:jc w:val="both"/>
        <w:rPr>
          <w:b/>
          <w:bCs/>
        </w:rPr>
      </w:pPr>
      <w:r w:rsidRPr="00453A55">
        <w:rPr>
          <w:b/>
          <w:bCs/>
        </w:rPr>
        <w:t>“12. Her türlü şans ve bahis oyunlarına ait ilan ve reklam giderleri.”</w:t>
      </w:r>
    </w:p>
    <w:p w14:paraId="7156AD9E" w14:textId="6515B094" w:rsidR="00453A55" w:rsidRPr="00453A55" w:rsidRDefault="00453A55" w:rsidP="00050B67">
      <w:pPr>
        <w:jc w:val="both"/>
      </w:pPr>
      <w:r w:rsidRPr="00453A55">
        <w:t>Gelir Vergisi Kanunu’nun “Gider Kabul Edilmeyen Ödemeler” başlıklı 41. maddesine ilave edilen 12. bent ile</w:t>
      </w:r>
      <w:r>
        <w:t xml:space="preserve"> 17 Nisan 2026 tarihinden itibaren “her türlü şans ve bahis oyunlarına ait ilan ve reklam </w:t>
      </w:r>
      <w:proofErr w:type="spellStart"/>
      <w:r>
        <w:t>giderleri”nin</w:t>
      </w:r>
      <w:proofErr w:type="spellEnd"/>
      <w:r>
        <w:t xml:space="preserve"> gider olarak indirimi kabul edilmeyecektir.</w:t>
      </w:r>
    </w:p>
    <w:p w14:paraId="28A4C23D" w14:textId="0815CF60" w:rsidR="00453A55" w:rsidRPr="00453A55" w:rsidRDefault="00453A55" w:rsidP="00050B67">
      <w:pPr>
        <w:jc w:val="both"/>
        <w:rPr>
          <w:b/>
          <w:bCs/>
          <w:sz w:val="24"/>
          <w:szCs w:val="24"/>
        </w:rPr>
      </w:pPr>
      <w:r w:rsidRPr="00453A55">
        <w:rPr>
          <w:b/>
          <w:bCs/>
          <w:sz w:val="24"/>
          <w:szCs w:val="24"/>
        </w:rPr>
        <w:t>B- Katma Değer Vergisi Kanunu’nun 17’nci Maddesine İlave Hüküm Getirilmiştir:</w:t>
      </w:r>
    </w:p>
    <w:p w14:paraId="2BD12C87" w14:textId="53A9E87A" w:rsidR="00453A55" w:rsidRPr="00453A55" w:rsidRDefault="00453A55" w:rsidP="00453A55">
      <w:pPr>
        <w:jc w:val="both"/>
      </w:pPr>
      <w:r>
        <w:t>7577 sayılı Kanunun 3. maddesiyle “</w:t>
      </w:r>
      <w:r w:rsidRPr="00453A55">
        <w:t>Katma Değer Vergisi Kanunu</w:t>
      </w:r>
      <w:r>
        <w:t>’</w:t>
      </w:r>
      <w:r w:rsidRPr="00453A55">
        <w:t>nun 17</w:t>
      </w:r>
      <w:r>
        <w:t>’</w:t>
      </w:r>
      <w:r w:rsidRPr="00453A55">
        <w:t xml:space="preserve">nci maddesinin (2) numaralı fıkrasının (a) bendinde yer alan “gibi kuruluşlar” ibaresinden sonra gelmek üzere “(Cumhurbaşkanınca </w:t>
      </w:r>
      <w:r w:rsidRPr="00453A55">
        <w:lastRenderedPageBreak/>
        <w:t>vergi muafiyeti tanınan vakıflarca kurulan yükseköğretim kurumları tarafından işletilenler hariç)” ibaresi ve (4) numaralı fıkrasının (g) bendinden sonra gelmek üzere aşağıdaki bent eklenmiştir.</w:t>
      </w:r>
    </w:p>
    <w:p w14:paraId="12A5F131" w14:textId="77777777" w:rsidR="00453A55" w:rsidRDefault="00453A55" w:rsidP="00453A55">
      <w:pPr>
        <w:jc w:val="both"/>
      </w:pPr>
      <w:r w:rsidRPr="00453A55">
        <w:t>“</w:t>
      </w:r>
      <w:proofErr w:type="gramStart"/>
      <w:r w:rsidRPr="00453A55">
        <w:t>ğ</w:t>
      </w:r>
      <w:proofErr w:type="gramEnd"/>
      <w:r w:rsidRPr="00453A55">
        <w:t>) 4/11/1983 tarihli ve 2942 sayılı Kamulaştırma Kanunu kapsamında taşınmazların kamulaştırmayı yapan Devlet ve kamu tüzel kişilerine devri,”</w:t>
      </w:r>
    </w:p>
    <w:p w14:paraId="4DE6AF83" w14:textId="29A0A1ED" w:rsidR="00453A55" w:rsidRPr="00956F11" w:rsidRDefault="00956F11" w:rsidP="00453A55">
      <w:pPr>
        <w:jc w:val="both"/>
      </w:pPr>
      <w:r>
        <w:t xml:space="preserve">Yapılan değişiklik sonrasında </w:t>
      </w:r>
      <w:r w:rsidRPr="00956F11">
        <w:t>“Sosyal ve Askerî Amaçlı İstisnalarla Diğer İstisnalar” başlıklı 17. maddenin 2. fıkrasının (a) bendinin son hali aşağıdaki gibidir:</w:t>
      </w:r>
    </w:p>
    <w:p w14:paraId="345BB37B" w14:textId="6680457C" w:rsidR="00956F11" w:rsidRPr="00956F11" w:rsidRDefault="00956F11" w:rsidP="00956F11">
      <w:pPr>
        <w:shd w:val="clear" w:color="auto" w:fill="F2F2F2" w:themeFill="background1" w:themeFillShade="F2"/>
        <w:jc w:val="both"/>
        <w:rPr>
          <w:i/>
          <w:iCs/>
          <w:sz w:val="20"/>
          <w:szCs w:val="20"/>
        </w:rPr>
      </w:pPr>
      <w:r w:rsidRPr="00956F11">
        <w:rPr>
          <w:b/>
          <w:bCs/>
          <w:i/>
          <w:iCs/>
          <w:sz w:val="20"/>
          <w:szCs w:val="20"/>
        </w:rPr>
        <w:t>“2. Sosyal Amaç Taşıyan İstisnalar:</w:t>
      </w:r>
    </w:p>
    <w:p w14:paraId="3D0141A9" w14:textId="00931292" w:rsidR="00956F11" w:rsidRPr="00956F11" w:rsidRDefault="00956F11" w:rsidP="00956F11">
      <w:pPr>
        <w:shd w:val="clear" w:color="auto" w:fill="F2F2F2" w:themeFill="background1" w:themeFillShade="F2"/>
        <w:jc w:val="both"/>
        <w:rPr>
          <w:i/>
          <w:iCs/>
          <w:sz w:val="20"/>
          <w:szCs w:val="20"/>
        </w:rPr>
      </w:pPr>
      <w:r w:rsidRPr="00956F11">
        <w:rPr>
          <w:i/>
          <w:iCs/>
          <w:sz w:val="20"/>
          <w:szCs w:val="20"/>
        </w:rPr>
        <w:t xml:space="preserve">a) Yukarıda sayılan kurum ve kuruluşların hastane, </w:t>
      </w:r>
      <w:proofErr w:type="spellStart"/>
      <w:r w:rsidRPr="00956F11">
        <w:rPr>
          <w:i/>
          <w:iCs/>
          <w:sz w:val="20"/>
          <w:szCs w:val="20"/>
        </w:rPr>
        <w:t>nekahathane</w:t>
      </w:r>
      <w:proofErr w:type="spellEnd"/>
      <w:r w:rsidRPr="00956F11">
        <w:rPr>
          <w:i/>
          <w:iCs/>
          <w:sz w:val="20"/>
          <w:szCs w:val="20"/>
        </w:rPr>
        <w:t xml:space="preserve">, klinik, dispanser, prevantoryum, sanatoryum, kan bankası ve organ nakline mahsus bankalar, anıtlar, botanik ve zooloji bahçeleri, parklar ile veteriner, bakteriyoloji, </w:t>
      </w:r>
      <w:proofErr w:type="spellStart"/>
      <w:r w:rsidRPr="00956F11">
        <w:rPr>
          <w:i/>
          <w:iCs/>
          <w:sz w:val="20"/>
          <w:szCs w:val="20"/>
        </w:rPr>
        <w:t>seroloji</w:t>
      </w:r>
      <w:proofErr w:type="spellEnd"/>
      <w:r w:rsidRPr="00956F11">
        <w:rPr>
          <w:i/>
          <w:iCs/>
          <w:sz w:val="20"/>
          <w:szCs w:val="20"/>
        </w:rPr>
        <w:t xml:space="preserve"> ve </w:t>
      </w:r>
      <w:proofErr w:type="spellStart"/>
      <w:r w:rsidRPr="00956F11">
        <w:rPr>
          <w:i/>
          <w:iCs/>
          <w:sz w:val="20"/>
          <w:szCs w:val="20"/>
        </w:rPr>
        <w:t>distofajin</w:t>
      </w:r>
      <w:proofErr w:type="spellEnd"/>
      <w:r w:rsidRPr="00956F11">
        <w:rPr>
          <w:i/>
          <w:iCs/>
          <w:sz w:val="20"/>
          <w:szCs w:val="20"/>
        </w:rPr>
        <w:t xml:space="preserve"> laboratuvarları gibi kuruluşlar </w:t>
      </w:r>
      <w:r w:rsidRPr="00956F11">
        <w:rPr>
          <w:b/>
          <w:bCs/>
          <w:i/>
          <w:iCs/>
          <w:sz w:val="20"/>
          <w:szCs w:val="20"/>
        </w:rPr>
        <w:t>“(Cumhurbaşkanınca vergi muafiyeti tanınan vakıflarca kurulan yükseköğretim kurumları tarafından işletilenler hariç)”,</w:t>
      </w:r>
      <w:r w:rsidRPr="00956F11">
        <w:rPr>
          <w:i/>
          <w:iCs/>
          <w:sz w:val="20"/>
          <w:szCs w:val="20"/>
        </w:rPr>
        <w:t xml:space="preserve"> öğrenci veya yetiştirme yurtları, yaşlı ve engelli bakım ve huzurevleri, parasız fukara aşevleri, </w:t>
      </w:r>
      <w:proofErr w:type="spellStart"/>
      <w:r w:rsidRPr="00956F11">
        <w:rPr>
          <w:i/>
          <w:iCs/>
          <w:sz w:val="20"/>
          <w:szCs w:val="20"/>
        </w:rPr>
        <w:t>düşkünevleri</w:t>
      </w:r>
      <w:proofErr w:type="spellEnd"/>
      <w:r w:rsidRPr="00956F11">
        <w:rPr>
          <w:i/>
          <w:iCs/>
          <w:sz w:val="20"/>
          <w:szCs w:val="20"/>
        </w:rPr>
        <w:t xml:space="preserve"> ve yetimhaneleri işletmek veya yönetmek suretiyle ifa ettikleri kuruluş amaçlarına uygun teslim ve hizmetleri ile bunlardan sağlık hizmeti sunanların teşhis ve tedaviye yönelik olarak birbirlerine yapacakları teslim ve hizmetler.”</w:t>
      </w:r>
    </w:p>
    <w:p w14:paraId="2D35D8B8" w14:textId="77777777" w:rsidR="00956F11" w:rsidRDefault="00956F11" w:rsidP="00956F11">
      <w:pPr>
        <w:jc w:val="both"/>
        <w:rPr>
          <w:i/>
          <w:iCs/>
        </w:rPr>
      </w:pPr>
      <w:proofErr w:type="spellStart"/>
      <w:r>
        <w:t>KDVK’nın</w:t>
      </w:r>
      <w:proofErr w:type="spellEnd"/>
      <w:r>
        <w:t xml:space="preserve"> “Diğer İstisnalar” başlığı altındaki 17/4. maddesine (ğ) bendi eklenerek</w:t>
      </w:r>
      <w:r>
        <w:rPr>
          <w:i/>
          <w:iCs/>
        </w:rPr>
        <w:t>;</w:t>
      </w:r>
    </w:p>
    <w:p w14:paraId="5F6F0CD3" w14:textId="77777777" w:rsidR="00956F11" w:rsidRPr="00956F11" w:rsidRDefault="00956F11" w:rsidP="00956F11">
      <w:pPr>
        <w:shd w:val="clear" w:color="auto" w:fill="F2F2F2" w:themeFill="background1" w:themeFillShade="F2"/>
        <w:jc w:val="both"/>
        <w:rPr>
          <w:i/>
          <w:iCs/>
          <w:sz w:val="20"/>
          <w:szCs w:val="20"/>
        </w:rPr>
      </w:pPr>
      <w:r w:rsidRPr="00956F11">
        <w:rPr>
          <w:i/>
          <w:iCs/>
          <w:sz w:val="20"/>
          <w:szCs w:val="20"/>
        </w:rPr>
        <w:t xml:space="preserve"> “</w:t>
      </w:r>
      <w:proofErr w:type="gramStart"/>
      <w:r w:rsidRPr="00453A55">
        <w:rPr>
          <w:i/>
          <w:iCs/>
          <w:sz w:val="20"/>
          <w:szCs w:val="20"/>
        </w:rPr>
        <w:t>ğ</w:t>
      </w:r>
      <w:proofErr w:type="gramEnd"/>
      <w:r w:rsidRPr="00453A55">
        <w:rPr>
          <w:i/>
          <w:iCs/>
          <w:sz w:val="20"/>
          <w:szCs w:val="20"/>
        </w:rPr>
        <w:t>) 4/11/1983 tarihli ve 2942 sayılı Kamulaştırma Kanunu kapsamında taşınmazların kamulaştırmayı yapan Devlet ve kamu tüzel kişilerine devri,”</w:t>
      </w:r>
      <w:r w:rsidRPr="00956F11">
        <w:rPr>
          <w:i/>
          <w:iCs/>
          <w:sz w:val="20"/>
          <w:szCs w:val="20"/>
        </w:rPr>
        <w:t xml:space="preserve"> </w:t>
      </w:r>
    </w:p>
    <w:p w14:paraId="19D9D735" w14:textId="05C7DCD2" w:rsidR="00956F11" w:rsidRDefault="00956F11" w:rsidP="00956F11">
      <w:pPr>
        <w:jc w:val="both"/>
      </w:pPr>
      <w:r>
        <w:t>KDV’den istisna edilmiştir.</w:t>
      </w:r>
    </w:p>
    <w:p w14:paraId="7BA85A26" w14:textId="63CC8D35" w:rsidR="00956F11" w:rsidRDefault="00956F11" w:rsidP="00956F11">
      <w:pPr>
        <w:jc w:val="both"/>
      </w:pPr>
      <w:r>
        <w:t xml:space="preserve">7577 sayılı </w:t>
      </w:r>
      <w:r w:rsidR="007F6D9F">
        <w:t>Kanunun</w:t>
      </w:r>
      <w:r w:rsidRPr="00956F11">
        <w:t xml:space="preserve"> 3</w:t>
      </w:r>
      <w:r w:rsidR="007F6D9F">
        <w:t>’</w:t>
      </w:r>
      <w:r w:rsidRPr="00956F11">
        <w:t>üncü maddesi ile 3065 sayılı Kanunun 17</w:t>
      </w:r>
      <w:r w:rsidR="007F6D9F">
        <w:t>’</w:t>
      </w:r>
      <w:r w:rsidRPr="00956F11">
        <w:t>nci maddesinin (4) numaralı fıkrasına eklenen (ğ) bendi hükmü yayımını izleyen ikinci aybaşında,</w:t>
      </w:r>
      <w:r w:rsidR="007F6D9F">
        <w:t xml:space="preserve"> yani 01 Haziran 2026 tarihinde yürürlüğe girecektir.</w:t>
      </w:r>
    </w:p>
    <w:p w14:paraId="1B42D515" w14:textId="61277BE2" w:rsidR="007F6D9F" w:rsidRPr="007F6D9F" w:rsidRDefault="007F6D9F" w:rsidP="00956F11">
      <w:pPr>
        <w:jc w:val="both"/>
        <w:rPr>
          <w:b/>
          <w:bCs/>
          <w:sz w:val="24"/>
          <w:szCs w:val="24"/>
        </w:rPr>
      </w:pPr>
      <w:r w:rsidRPr="007F6D9F">
        <w:rPr>
          <w:b/>
          <w:bCs/>
          <w:sz w:val="24"/>
          <w:szCs w:val="24"/>
        </w:rPr>
        <w:t>C- Serbest Bölgeler Kanunu’nun Geçici 3. Maddesinde Değişiklik Yapılmıştır:</w:t>
      </w:r>
    </w:p>
    <w:p w14:paraId="4679D995" w14:textId="3F3D8E24" w:rsidR="007F6D9F" w:rsidRDefault="007F6D9F" w:rsidP="00956F11">
      <w:pPr>
        <w:jc w:val="both"/>
      </w:pPr>
      <w:r w:rsidRPr="00453A55">
        <w:t xml:space="preserve">7577 sayılı Kanunun </w:t>
      </w:r>
      <w:r>
        <w:t>4</w:t>
      </w:r>
      <w:r w:rsidRPr="00453A55">
        <w:t>. maddesiyle</w:t>
      </w:r>
      <w:r w:rsidRPr="007F6D9F">
        <w:rPr>
          <w:b/>
          <w:bCs/>
        </w:rPr>
        <w:t> </w:t>
      </w:r>
      <w:r>
        <w:t>“</w:t>
      </w:r>
      <w:r w:rsidRPr="007F6D9F">
        <w:t>3218 sayılı Serbest Bölgeler Kanununun geçici 3</w:t>
      </w:r>
      <w:r>
        <w:t>’</w:t>
      </w:r>
      <w:r w:rsidRPr="007F6D9F">
        <w:t>üncü maddesinin ikinci fıkrasının (a) bendinde yer alan “yurt dışına” ibaresi “yurt dışına, serbest bölge içine veya diğer serbest bölgelere” şeklinde değiştirilmiştir.</w:t>
      </w:r>
    </w:p>
    <w:p w14:paraId="1AB79551" w14:textId="4F3C3A6A" w:rsidR="007F6D9F" w:rsidRDefault="007F6D9F" w:rsidP="00956F11">
      <w:pPr>
        <w:jc w:val="both"/>
      </w:pPr>
      <w:r>
        <w:t>Yapılan değişiklik sonrasında Serbest Bölgeler Kanunu’nun Geçici 3. maddesinin ikinci fıkrasının (a) bendinin son hali aşağıdaki gibidir:</w:t>
      </w:r>
    </w:p>
    <w:p w14:paraId="657FBDC8" w14:textId="77777777" w:rsidR="007F6D9F" w:rsidRPr="007F6D9F" w:rsidRDefault="007F6D9F" w:rsidP="007F6D9F">
      <w:pPr>
        <w:shd w:val="clear" w:color="auto" w:fill="F2F2F2" w:themeFill="background1" w:themeFillShade="F2"/>
        <w:jc w:val="both"/>
        <w:rPr>
          <w:i/>
          <w:iCs/>
          <w:sz w:val="20"/>
          <w:szCs w:val="20"/>
        </w:rPr>
      </w:pPr>
      <w:r w:rsidRPr="007F6D9F">
        <w:rPr>
          <w:i/>
          <w:iCs/>
          <w:sz w:val="20"/>
          <w:szCs w:val="20"/>
        </w:rPr>
        <w:t xml:space="preserve">“Avrupa Birliğine tam üyeliğin gerçekleştiği tarihi içeren yılın vergilendirme döneminin sonuna kadar;  </w:t>
      </w:r>
    </w:p>
    <w:p w14:paraId="2A464CC0" w14:textId="664A54B6" w:rsidR="007F6D9F" w:rsidRPr="007F6D9F" w:rsidRDefault="007F6D9F" w:rsidP="007F6D9F">
      <w:pPr>
        <w:shd w:val="clear" w:color="auto" w:fill="F2F2F2" w:themeFill="background1" w:themeFillShade="F2"/>
        <w:jc w:val="both"/>
        <w:rPr>
          <w:i/>
          <w:iCs/>
          <w:sz w:val="20"/>
          <w:szCs w:val="20"/>
        </w:rPr>
      </w:pPr>
      <w:r w:rsidRPr="007F6D9F">
        <w:rPr>
          <w:i/>
          <w:iCs/>
          <w:sz w:val="20"/>
          <w:szCs w:val="20"/>
        </w:rPr>
        <w:t xml:space="preserve">a) Serbest bölgelerde üretim faaliyetinde bulunan mükelleflerin bu bölgelerde imal ettikleri ürünlerin </w:t>
      </w:r>
      <w:r w:rsidRPr="007F6D9F">
        <w:rPr>
          <w:b/>
          <w:bCs/>
          <w:i/>
          <w:iCs/>
          <w:sz w:val="20"/>
          <w:szCs w:val="20"/>
        </w:rPr>
        <w:t>yurt dışına, serbest bölge içine veya diğer serbest bölgelere</w:t>
      </w:r>
      <w:r w:rsidRPr="007F6D9F">
        <w:rPr>
          <w:i/>
          <w:iCs/>
          <w:sz w:val="20"/>
          <w:szCs w:val="20"/>
        </w:rPr>
        <w:t xml:space="preserve"> satışından elde ettikleri kazançları ile serbest bölgelerde, bakım, onarım, montaj, demontaj, elleçleme, ayrıştırma, ambalajlama, etiketleme, test etme, depolama hizmeti alanlarında faaliyette bulunan ve hizmetin tamamını Türkiye’de yerleşmiş olmayan kişilerle, işyeri, kanuni ve iş merkezi yurt dışında bulunanlara veren hizmet işletmelerinin, söz konusu hizmetlere konu malların serbest bölgelerden Türkiye’ye herhangi bir şekilde girişi olmaksızın yabancı bir ülkeye gönderilmesi şartıyla bu hizmetlerden elde ettikleri kazançları gelir veya kurumlar vergisinden müstesnadır. Bu istisnanın 193 sayılı Gelir Vergisi Kanunu’nun 94’üncü maddesinin birinci fıkrasının (6) numaralı bendinin (b) alt bendi ile 5520 sayılı Kurumlar Vergisi Kanununun 15’inci ve 30’uncu maddeleri uyarınca yapılacak </w:t>
      </w:r>
      <w:proofErr w:type="spellStart"/>
      <w:r w:rsidRPr="007F6D9F">
        <w:rPr>
          <w:i/>
          <w:iCs/>
          <w:sz w:val="20"/>
          <w:szCs w:val="20"/>
        </w:rPr>
        <w:t>tevkifata</w:t>
      </w:r>
      <w:proofErr w:type="spellEnd"/>
      <w:r w:rsidRPr="007F6D9F">
        <w:rPr>
          <w:i/>
          <w:iCs/>
          <w:sz w:val="20"/>
          <w:szCs w:val="20"/>
        </w:rPr>
        <w:t xml:space="preserve"> etkisi yoktur.”</w:t>
      </w:r>
    </w:p>
    <w:p w14:paraId="4E70499E" w14:textId="3EE767E4" w:rsidR="007F6D9F" w:rsidRDefault="007F6D9F" w:rsidP="00956F11">
      <w:pPr>
        <w:jc w:val="both"/>
      </w:pPr>
      <w:r>
        <w:lastRenderedPageBreak/>
        <w:t xml:space="preserve">Yapılan bu değişiklik, </w:t>
      </w:r>
      <w:r w:rsidRPr="007F6D9F">
        <w:t>1/1/2026 tarihinden itibaren elde edilen kazançlara uygulanmak üzere yayımı tarihinde</w:t>
      </w:r>
      <w:r>
        <w:t xml:space="preserve"> yürürlüğe girmiştir.</w:t>
      </w:r>
    </w:p>
    <w:p w14:paraId="71AEE6ED" w14:textId="37762E53" w:rsidR="00791A42" w:rsidRPr="00E223CF" w:rsidRDefault="00791A42" w:rsidP="00956F11">
      <w:pPr>
        <w:jc w:val="both"/>
        <w:rPr>
          <w:b/>
          <w:bCs/>
          <w:sz w:val="24"/>
          <w:szCs w:val="24"/>
        </w:rPr>
      </w:pPr>
      <w:r w:rsidRPr="00E223CF">
        <w:rPr>
          <w:b/>
          <w:bCs/>
          <w:sz w:val="24"/>
          <w:szCs w:val="24"/>
        </w:rPr>
        <w:t>D-</w:t>
      </w:r>
      <w:r w:rsidRPr="00E223CF">
        <w:rPr>
          <w:sz w:val="24"/>
          <w:szCs w:val="24"/>
        </w:rPr>
        <w:t xml:space="preserve"> </w:t>
      </w:r>
      <w:r w:rsidR="00E223CF" w:rsidRPr="00E223CF">
        <w:rPr>
          <w:b/>
          <w:bCs/>
          <w:sz w:val="24"/>
          <w:szCs w:val="24"/>
        </w:rPr>
        <w:t>4760 Sayılı Özel Tüketim Vergisi Kanunu’nun 7’nci Maddesi Yeniden Düzenlenmiştir:</w:t>
      </w:r>
    </w:p>
    <w:p w14:paraId="010468EF" w14:textId="734565A0" w:rsidR="00E223CF" w:rsidRPr="00E223CF" w:rsidRDefault="00E223CF" w:rsidP="00E223CF">
      <w:pPr>
        <w:jc w:val="both"/>
      </w:pPr>
      <w:r w:rsidRPr="00453A55">
        <w:t xml:space="preserve">7577 sayılı Kanunun </w:t>
      </w:r>
      <w:r>
        <w:t>8</w:t>
      </w:r>
      <w:r w:rsidRPr="00453A55">
        <w:t>. maddesiyle</w:t>
      </w:r>
      <w:r>
        <w:rPr>
          <w:b/>
          <w:bCs/>
        </w:rPr>
        <w:t xml:space="preserve">, </w:t>
      </w:r>
      <w:r w:rsidRPr="00E223CF">
        <w:t>“4760 sayılı Özel Tüketim Vergisi Kanunu</w:t>
      </w:r>
      <w:r>
        <w:t>’</w:t>
      </w:r>
      <w:r w:rsidRPr="00E223CF">
        <w:t>nun 7</w:t>
      </w:r>
      <w:r>
        <w:t>’</w:t>
      </w:r>
      <w:r w:rsidRPr="00E223CF">
        <w:t>nci maddesinin birinci fıkrasının (2) numaralı bendinin Anayasa Mahkemesi tarafından iptal edilen (c) alt bendi aşağıdaki şekilde yeniden düzenlenmiştir.</w:t>
      </w:r>
    </w:p>
    <w:p w14:paraId="213A5572" w14:textId="77777777" w:rsidR="00E223CF" w:rsidRDefault="00E223CF" w:rsidP="00E223CF">
      <w:pPr>
        <w:jc w:val="both"/>
      </w:pPr>
      <w:r w:rsidRPr="00E223CF">
        <w:t>“</w:t>
      </w:r>
      <w:proofErr w:type="gramStart"/>
      <w:r w:rsidRPr="00E223CF">
        <w:t>c</w:t>
      </w:r>
      <w:proofErr w:type="gramEnd"/>
      <w:r w:rsidRPr="00E223CF">
        <w:t>) 87.03 (hesaplanması gereken özel tüketim vergisi ve diğer her türlü vergiler dahil bedeli 2.873.900 TL’yi aşanlar hariç), 87.04 (motor silindir hacmi 2.800 cm³’ü aşanlar hariç) ve 87.11 G.T.İ.P. numaralarında yer alanların, bizzat kullanma amacıyla engelliliğine uygun hareket ettirici özel tertibat yaptıran malûl ve engelliler ile engelli sağlık kurulu raporunda ortopedik engelliliği yüzde 40 ve üzeri olup bu engel durumu nedeniyle sürücü belgesi alamayan malûl ve engelliler tarafından,”</w:t>
      </w:r>
    </w:p>
    <w:p w14:paraId="0D3B810F" w14:textId="0400E9CD" w:rsidR="00E223CF" w:rsidRPr="00E223CF" w:rsidRDefault="00E223CF" w:rsidP="00E223CF">
      <w:pPr>
        <w:jc w:val="both"/>
      </w:pPr>
      <w:r>
        <w:t>Değişiklik sonrasında Özel Tüketim Vergisi Kanunu’nun “Diğer İstisnalar” başlıklı 7. maddesinin birinci fıkrasının 2. bendinin son hali aşağıdaki gibidir:</w:t>
      </w:r>
    </w:p>
    <w:p w14:paraId="3D358499" w14:textId="5BF65AE0" w:rsidR="00E223CF" w:rsidRPr="00E223CF" w:rsidRDefault="00E223CF" w:rsidP="00E223CF">
      <w:pPr>
        <w:shd w:val="clear" w:color="auto" w:fill="F2F2F2" w:themeFill="background1" w:themeFillShade="F2"/>
        <w:jc w:val="both"/>
        <w:rPr>
          <w:i/>
          <w:iCs/>
          <w:sz w:val="20"/>
          <w:szCs w:val="20"/>
        </w:rPr>
      </w:pPr>
      <w:r w:rsidRPr="00E223CF">
        <w:rPr>
          <w:i/>
          <w:iCs/>
          <w:sz w:val="20"/>
          <w:szCs w:val="20"/>
        </w:rPr>
        <w:t>“2. (II) sayılı listede yer alan kayıt ve tescile tâbi yerli katkı oranı en az %20 olan mallardan;</w:t>
      </w:r>
    </w:p>
    <w:p w14:paraId="492CB56D" w14:textId="00D16765" w:rsidR="00E223CF" w:rsidRPr="00E223CF" w:rsidRDefault="00E223CF" w:rsidP="00E223CF">
      <w:pPr>
        <w:shd w:val="clear" w:color="auto" w:fill="F2F2F2" w:themeFill="background1" w:themeFillShade="F2"/>
        <w:jc w:val="both"/>
        <w:rPr>
          <w:i/>
          <w:iCs/>
          <w:sz w:val="20"/>
          <w:szCs w:val="20"/>
        </w:rPr>
      </w:pPr>
      <w:r w:rsidRPr="00E223CF">
        <w:rPr>
          <w:i/>
          <w:iCs/>
          <w:sz w:val="20"/>
          <w:szCs w:val="20"/>
        </w:rPr>
        <w:t>a) 87.03 (hesaplanması gereken özel tüketim vergisi ve diğer her türlü vergiler dahil bedeli 200.000 TL'yi aşanlar</w:t>
      </w:r>
      <w:r w:rsidRPr="00E223CF">
        <w:rPr>
          <w:b/>
          <w:bCs/>
          <w:i/>
          <w:iCs/>
          <w:sz w:val="20"/>
          <w:szCs w:val="20"/>
        </w:rPr>
        <w:t> </w:t>
      </w:r>
      <w:r w:rsidRPr="00E223CF">
        <w:rPr>
          <w:i/>
          <w:iCs/>
          <w:sz w:val="20"/>
          <w:szCs w:val="20"/>
        </w:rPr>
        <w:t>hariç), 87.04 (motor silindir hacmi 2.800 cm³'ü aşanlar hariç) ve 87.11 G.T.İ.P. numaralarında yer alanların, engellilik oranı </w:t>
      </w:r>
      <w:proofErr w:type="gramStart"/>
      <w:r w:rsidRPr="00E223CF">
        <w:rPr>
          <w:i/>
          <w:iCs/>
          <w:sz w:val="20"/>
          <w:szCs w:val="20"/>
        </w:rPr>
        <w:t>% 90</w:t>
      </w:r>
      <w:proofErr w:type="gramEnd"/>
      <w:r w:rsidRPr="00E223CF">
        <w:rPr>
          <w:i/>
          <w:iCs/>
          <w:sz w:val="20"/>
          <w:szCs w:val="20"/>
        </w:rPr>
        <w:t xml:space="preserve"> veya daha fazla olan malûl ve engelliler tarafından,</w:t>
      </w:r>
    </w:p>
    <w:p w14:paraId="5338FA40" w14:textId="2AF8F0D9" w:rsidR="00E223CF" w:rsidRPr="00E223CF" w:rsidRDefault="00E223CF" w:rsidP="00E223CF">
      <w:pPr>
        <w:shd w:val="clear" w:color="auto" w:fill="F2F2F2" w:themeFill="background1" w:themeFillShade="F2"/>
        <w:jc w:val="both"/>
        <w:rPr>
          <w:i/>
          <w:iCs/>
          <w:sz w:val="20"/>
          <w:szCs w:val="20"/>
        </w:rPr>
      </w:pPr>
      <w:r w:rsidRPr="00E223CF">
        <w:rPr>
          <w:i/>
          <w:iCs/>
          <w:sz w:val="20"/>
          <w:szCs w:val="20"/>
        </w:rPr>
        <w:t>b) 87.03 G.T.I.P. numarasında yer alan (motor silindir hacmi 2.800 cm3'ü aşanlar, bütün tekerlekleri motordan güç alan veya alabilenler, sürücü dâhil 8 kişiye kadar oturma yeri olan binek otomobilleri, yarış arabaları, arazi taşıtları hariç), yük taşımasında kullanılıp azami ağırlığı 3,5 tonu aşmayan ve yolcu taşıma kapasitesi istiap haddinin % 50'sinin altında 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14:paraId="6989D3BB" w14:textId="552877FA" w:rsidR="00E223CF" w:rsidRPr="00E223CF" w:rsidRDefault="00E223CF" w:rsidP="00E223CF">
      <w:pPr>
        <w:shd w:val="clear" w:color="auto" w:fill="F2F2F2" w:themeFill="background1" w:themeFillShade="F2"/>
        <w:jc w:val="both"/>
        <w:rPr>
          <w:b/>
          <w:bCs/>
          <w:i/>
          <w:iCs/>
          <w:sz w:val="20"/>
          <w:szCs w:val="20"/>
        </w:rPr>
      </w:pPr>
      <w:r w:rsidRPr="00E223CF">
        <w:rPr>
          <w:b/>
          <w:bCs/>
          <w:i/>
          <w:iCs/>
          <w:sz w:val="20"/>
          <w:szCs w:val="20"/>
        </w:rPr>
        <w:t>c) 87.03 (hesaplanması gereken özel tüketim vergisi ve diğer her türlü vergiler dahil bedeli 2.873.900 TL’yi aşanlar hariç), 87.04 (motor silindir hacmi 2.800 cm³’ü aşanlar hariç) ve 87.11 G.T.İ.P. numaralarında yer alanların, bizzat kullanma amacıyla engelliliğine uygun hareket ettirici özel tertibat yaptıran malûl ve engelliler ile engelli sağlık kurulu raporunda ortopedik engelliliği yüzde 40 ve üzeri olup bu engel durumu nedeniyle sürücü belgesi alamayan malûl ve engelliler tarafından,</w:t>
      </w:r>
    </w:p>
    <w:p w14:paraId="38A4347D" w14:textId="1909B79B" w:rsidR="00E223CF" w:rsidRPr="00E223CF" w:rsidRDefault="00E223CF" w:rsidP="00E223CF">
      <w:pPr>
        <w:shd w:val="clear" w:color="auto" w:fill="F2F2F2" w:themeFill="background1" w:themeFillShade="F2"/>
        <w:jc w:val="both"/>
        <w:rPr>
          <w:i/>
          <w:iCs/>
          <w:sz w:val="20"/>
          <w:szCs w:val="20"/>
        </w:rPr>
      </w:pPr>
      <w:r w:rsidRPr="00E223CF">
        <w:rPr>
          <w:i/>
          <w:iCs/>
          <w:sz w:val="20"/>
          <w:szCs w:val="20"/>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14:paraId="0E7E785A" w14:textId="235DC4E5" w:rsidR="00E223CF" w:rsidRPr="00E223CF" w:rsidRDefault="00E223CF" w:rsidP="00E223CF">
      <w:pPr>
        <w:shd w:val="clear" w:color="auto" w:fill="F2F2F2" w:themeFill="background1" w:themeFillShade="F2"/>
        <w:jc w:val="both"/>
        <w:rPr>
          <w:i/>
          <w:iCs/>
          <w:sz w:val="20"/>
          <w:szCs w:val="20"/>
        </w:rPr>
      </w:pPr>
      <w:proofErr w:type="gramStart"/>
      <w:r w:rsidRPr="00E223CF">
        <w:rPr>
          <w:i/>
          <w:iCs/>
          <w:sz w:val="20"/>
          <w:szCs w:val="20"/>
        </w:rPr>
        <w:t>on</w:t>
      </w:r>
      <w:proofErr w:type="gramEnd"/>
      <w:r w:rsidRPr="00E223CF">
        <w:rPr>
          <w:i/>
          <w:iCs/>
          <w:sz w:val="20"/>
          <w:szCs w:val="20"/>
        </w:rPr>
        <w:t> yılda bir defaya mahsus olmak üzere ilk iktisabı,</w:t>
      </w:r>
    </w:p>
    <w:p w14:paraId="32594773" w14:textId="4DD491BA" w:rsidR="00E223CF" w:rsidRPr="00E223CF" w:rsidRDefault="00E223CF" w:rsidP="00E223CF">
      <w:pPr>
        <w:shd w:val="clear" w:color="auto" w:fill="F2F2F2" w:themeFill="background1" w:themeFillShade="F2"/>
        <w:jc w:val="both"/>
        <w:rPr>
          <w:i/>
          <w:iCs/>
          <w:sz w:val="20"/>
          <w:szCs w:val="20"/>
        </w:rPr>
      </w:pPr>
      <w:r w:rsidRPr="00E223CF">
        <w:rPr>
          <w:i/>
          <w:iCs/>
          <w:sz w:val="20"/>
          <w:szCs w:val="20"/>
        </w:rPr>
        <w:t>…Vergiden müstesnadır.”</w:t>
      </w:r>
    </w:p>
    <w:p w14:paraId="3E61DB0A" w14:textId="73B0006E" w:rsidR="00E223CF" w:rsidRDefault="00BE2838" w:rsidP="00E223CF">
      <w:pPr>
        <w:jc w:val="both"/>
      </w:pPr>
      <w:r>
        <w:t>Söz konusu ilave hüküm 17 Nisan 2026 tarihinden itibaren yürürlüğe girmiştir.</w:t>
      </w:r>
    </w:p>
    <w:p w14:paraId="224FE2E8" w14:textId="09850B54" w:rsidR="00BE2838" w:rsidRPr="00453A55" w:rsidRDefault="00BE2838" w:rsidP="00BE2838">
      <w:pPr>
        <w:jc w:val="both"/>
        <w:rPr>
          <w:b/>
          <w:bCs/>
          <w:sz w:val="24"/>
          <w:szCs w:val="24"/>
        </w:rPr>
      </w:pPr>
      <w:r w:rsidRPr="00BE2838">
        <w:rPr>
          <w:b/>
          <w:bCs/>
          <w:sz w:val="24"/>
          <w:szCs w:val="24"/>
        </w:rPr>
        <w:t>E- Kurumlar Vergisi</w:t>
      </w:r>
      <w:r w:rsidRPr="00453A55">
        <w:rPr>
          <w:b/>
          <w:bCs/>
          <w:sz w:val="24"/>
          <w:szCs w:val="24"/>
        </w:rPr>
        <w:t xml:space="preserve"> Kanunu’nun </w:t>
      </w:r>
      <w:r>
        <w:rPr>
          <w:b/>
          <w:bCs/>
          <w:sz w:val="24"/>
          <w:szCs w:val="24"/>
        </w:rPr>
        <w:t>1</w:t>
      </w:r>
      <w:r w:rsidRPr="00453A55">
        <w:rPr>
          <w:b/>
          <w:bCs/>
          <w:sz w:val="24"/>
          <w:szCs w:val="24"/>
        </w:rPr>
        <w:t>1’inci Maddesine İlave Hüküm Getirilmiştir:</w:t>
      </w:r>
    </w:p>
    <w:p w14:paraId="6DC0AD7A" w14:textId="681BDE77" w:rsidR="00BE2838" w:rsidRPr="00453A55" w:rsidRDefault="00BE2838" w:rsidP="00BE2838">
      <w:pPr>
        <w:jc w:val="both"/>
      </w:pPr>
      <w:r w:rsidRPr="00453A55">
        <w:lastRenderedPageBreak/>
        <w:t xml:space="preserve">7577 sayılı Kanunun </w:t>
      </w:r>
      <w:r>
        <w:t>11</w:t>
      </w:r>
      <w:r w:rsidRPr="00453A55">
        <w:t xml:space="preserve">. maddesiyle, </w:t>
      </w:r>
      <w:r>
        <w:t>Kurumlar</w:t>
      </w:r>
      <w:r w:rsidRPr="00453A55">
        <w:t xml:space="preserve"> Vergisi Kanunu’nun </w:t>
      </w:r>
      <w:r>
        <w:t>1</w:t>
      </w:r>
      <w:r w:rsidRPr="00453A55">
        <w:t>1</w:t>
      </w:r>
      <w:r>
        <w:t>’</w:t>
      </w:r>
      <w:r w:rsidRPr="00453A55">
        <w:t>inci maddesinin birinci fıkrasına aşağıdaki bent eklenmiştir</w:t>
      </w:r>
      <w:r>
        <w:t>:</w:t>
      </w:r>
    </w:p>
    <w:p w14:paraId="13CC214D" w14:textId="5736C444" w:rsidR="00BE2838" w:rsidRPr="00453A55" w:rsidRDefault="00BE2838" w:rsidP="00BE2838">
      <w:pPr>
        <w:jc w:val="both"/>
        <w:rPr>
          <w:b/>
          <w:bCs/>
        </w:rPr>
      </w:pPr>
      <w:r w:rsidRPr="00453A55">
        <w:rPr>
          <w:b/>
          <w:bCs/>
        </w:rPr>
        <w:t>“</w:t>
      </w:r>
      <w:proofErr w:type="gramStart"/>
      <w:r>
        <w:rPr>
          <w:b/>
          <w:bCs/>
        </w:rPr>
        <w:t>k</w:t>
      </w:r>
      <w:proofErr w:type="gramEnd"/>
      <w:r>
        <w:rPr>
          <w:b/>
          <w:bCs/>
        </w:rPr>
        <w:t>)</w:t>
      </w:r>
      <w:r w:rsidRPr="00453A55">
        <w:rPr>
          <w:b/>
          <w:bCs/>
        </w:rPr>
        <w:t xml:space="preserve"> Her türlü şans ve bahis oyunlarına ait ilan ve reklam giderleri.”</w:t>
      </w:r>
    </w:p>
    <w:p w14:paraId="5D523793" w14:textId="488CC4F7" w:rsidR="00D456C5" w:rsidRDefault="00BE2838" w:rsidP="00050B67">
      <w:pPr>
        <w:jc w:val="both"/>
      </w:pPr>
      <w:r>
        <w:t>Kurumlar</w:t>
      </w:r>
      <w:r w:rsidRPr="00453A55">
        <w:t xml:space="preserve"> Vergisi Kanunu’nun “Kabul Edilmeyen </w:t>
      </w:r>
      <w:r>
        <w:t>İndiriml</w:t>
      </w:r>
      <w:r w:rsidRPr="00453A55">
        <w:t xml:space="preserve">er” başlıklı </w:t>
      </w:r>
      <w:r>
        <w:t>1</w:t>
      </w:r>
      <w:r w:rsidRPr="00453A55">
        <w:t xml:space="preserve">1. maddesine ilave edilen </w:t>
      </w:r>
      <w:r>
        <w:t>(k)</w:t>
      </w:r>
      <w:r w:rsidRPr="00453A55">
        <w:t xml:space="preserve"> ben</w:t>
      </w:r>
      <w:r>
        <w:t>di</w:t>
      </w:r>
      <w:r w:rsidRPr="00453A55">
        <w:t xml:space="preserve"> ile</w:t>
      </w:r>
      <w:r>
        <w:t xml:space="preserve"> 17 Nisan 2026 tarihinden itibaren “her türlü şans ve bahis oyunlarına ait ilan ve reklam </w:t>
      </w:r>
      <w:proofErr w:type="spellStart"/>
      <w:r>
        <w:t>giderleri”nin</w:t>
      </w:r>
      <w:proofErr w:type="spellEnd"/>
      <w:r>
        <w:t xml:space="preserve"> gider olarak indirimi kabul edilmeyecektir.</w:t>
      </w:r>
    </w:p>
    <w:p w14:paraId="5BF71C87" w14:textId="77777777" w:rsidR="00050B67" w:rsidRPr="00394174" w:rsidRDefault="00050B67" w:rsidP="00394174">
      <w:pPr>
        <w:shd w:val="clear" w:color="auto" w:fill="FFFFFF" w:themeFill="background1"/>
        <w:jc w:val="both"/>
        <w:rPr>
          <w:rFonts w:cstheme="minorHAnsi"/>
        </w:rPr>
      </w:pPr>
    </w:p>
    <w:sectPr w:rsidR="00050B67" w:rsidRPr="003941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9401" w14:textId="77777777" w:rsidR="007A05DD" w:rsidRDefault="007A05DD" w:rsidP="007003D0">
      <w:pPr>
        <w:spacing w:after="0" w:line="240" w:lineRule="auto"/>
      </w:pPr>
      <w:r>
        <w:separator/>
      </w:r>
    </w:p>
  </w:endnote>
  <w:endnote w:type="continuationSeparator" w:id="0">
    <w:p w14:paraId="70A46C17" w14:textId="77777777" w:rsidR="007A05DD" w:rsidRDefault="007A05DD"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31EB" w14:textId="77777777" w:rsidR="00A02413" w:rsidRDefault="00A024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10865"/>
      <w:docPartObj>
        <w:docPartGallery w:val="Page Numbers (Bottom of Page)"/>
        <w:docPartUnique/>
      </w:docPartObj>
    </w:sdtPr>
    <w:sdtContent>
      <w:p w14:paraId="4D23C62E" w14:textId="2BAB199C" w:rsidR="001B5A89" w:rsidRDefault="001B5A89">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BB44" w14:textId="77777777" w:rsidR="00A02413" w:rsidRDefault="00A024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787D" w14:textId="77777777" w:rsidR="007A05DD" w:rsidRDefault="007A05DD" w:rsidP="007003D0">
      <w:pPr>
        <w:spacing w:after="0" w:line="240" w:lineRule="auto"/>
      </w:pPr>
      <w:r>
        <w:separator/>
      </w:r>
    </w:p>
  </w:footnote>
  <w:footnote w:type="continuationSeparator" w:id="0">
    <w:p w14:paraId="4060456E" w14:textId="77777777" w:rsidR="007A05DD" w:rsidRDefault="007A05DD"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7CD4" w14:textId="77777777" w:rsidR="00A02413" w:rsidRDefault="00A024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558B1CA" w14:textId="161EEB6A" w:rsidR="00A02413" w:rsidRPr="00A02413" w:rsidRDefault="00A02413" w:rsidP="00A02413">
    <w:pPr>
      <w:pStyle w:val="stBilgi"/>
    </w:pPr>
    <w:r w:rsidRPr="00F22779">
      <w:rPr>
        <w:b/>
        <w:bCs/>
      </w:rPr>
      <w:object w:dxaOrig="9042" w:dyaOrig="1927" w14:anchorId="5F31D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7930050"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A707" w14:textId="77777777" w:rsidR="00A02413" w:rsidRDefault="00A024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30A9B"/>
    <w:rsid w:val="000374B8"/>
    <w:rsid w:val="00043BFC"/>
    <w:rsid w:val="00045BC8"/>
    <w:rsid w:val="00050B67"/>
    <w:rsid w:val="000611C4"/>
    <w:rsid w:val="000709FF"/>
    <w:rsid w:val="0009737A"/>
    <w:rsid w:val="000B7C5F"/>
    <w:rsid w:val="000C0E6A"/>
    <w:rsid w:val="000C5B9B"/>
    <w:rsid w:val="000D7C9A"/>
    <w:rsid w:val="00116523"/>
    <w:rsid w:val="0012570F"/>
    <w:rsid w:val="00132AC8"/>
    <w:rsid w:val="0013498C"/>
    <w:rsid w:val="001354C0"/>
    <w:rsid w:val="001418FB"/>
    <w:rsid w:val="0015010B"/>
    <w:rsid w:val="001634AC"/>
    <w:rsid w:val="001644DF"/>
    <w:rsid w:val="00170C3E"/>
    <w:rsid w:val="00180E72"/>
    <w:rsid w:val="00182305"/>
    <w:rsid w:val="001A0AA6"/>
    <w:rsid w:val="001A5921"/>
    <w:rsid w:val="001A6BFC"/>
    <w:rsid w:val="001A7E6A"/>
    <w:rsid w:val="001B5A89"/>
    <w:rsid w:val="001C547C"/>
    <w:rsid w:val="001C61D3"/>
    <w:rsid w:val="001D0AD4"/>
    <w:rsid w:val="001D4559"/>
    <w:rsid w:val="001D6927"/>
    <w:rsid w:val="001F3D74"/>
    <w:rsid w:val="00213727"/>
    <w:rsid w:val="00214B7E"/>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D34D6"/>
    <w:rsid w:val="00303EDC"/>
    <w:rsid w:val="0030464E"/>
    <w:rsid w:val="0030595C"/>
    <w:rsid w:val="00342AB1"/>
    <w:rsid w:val="00353D7A"/>
    <w:rsid w:val="003867F1"/>
    <w:rsid w:val="00394174"/>
    <w:rsid w:val="003A0090"/>
    <w:rsid w:val="003A7505"/>
    <w:rsid w:val="003C4CF1"/>
    <w:rsid w:val="003F0949"/>
    <w:rsid w:val="003F298E"/>
    <w:rsid w:val="00420441"/>
    <w:rsid w:val="00421AB4"/>
    <w:rsid w:val="00425837"/>
    <w:rsid w:val="00425FA8"/>
    <w:rsid w:val="00426931"/>
    <w:rsid w:val="00426C96"/>
    <w:rsid w:val="00443046"/>
    <w:rsid w:val="004441E3"/>
    <w:rsid w:val="00444503"/>
    <w:rsid w:val="00445B03"/>
    <w:rsid w:val="00450DDA"/>
    <w:rsid w:val="00453A55"/>
    <w:rsid w:val="00464DBE"/>
    <w:rsid w:val="00472BCE"/>
    <w:rsid w:val="00474CDF"/>
    <w:rsid w:val="00476491"/>
    <w:rsid w:val="004804CD"/>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346C"/>
    <w:rsid w:val="006138E7"/>
    <w:rsid w:val="00627209"/>
    <w:rsid w:val="006301D2"/>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72AD6"/>
    <w:rsid w:val="007805B7"/>
    <w:rsid w:val="0078325B"/>
    <w:rsid w:val="00791A42"/>
    <w:rsid w:val="00794D3A"/>
    <w:rsid w:val="007A05DD"/>
    <w:rsid w:val="007A7126"/>
    <w:rsid w:val="007B1FD8"/>
    <w:rsid w:val="007B2C46"/>
    <w:rsid w:val="007B3614"/>
    <w:rsid w:val="007B39B0"/>
    <w:rsid w:val="007D0311"/>
    <w:rsid w:val="007D2233"/>
    <w:rsid w:val="007D3B65"/>
    <w:rsid w:val="007E2DE5"/>
    <w:rsid w:val="007F007A"/>
    <w:rsid w:val="007F6D9F"/>
    <w:rsid w:val="00804DE0"/>
    <w:rsid w:val="00806176"/>
    <w:rsid w:val="0080750F"/>
    <w:rsid w:val="0081240B"/>
    <w:rsid w:val="0081412E"/>
    <w:rsid w:val="00816991"/>
    <w:rsid w:val="00823EC2"/>
    <w:rsid w:val="00830A20"/>
    <w:rsid w:val="00853A08"/>
    <w:rsid w:val="0085407E"/>
    <w:rsid w:val="008613D5"/>
    <w:rsid w:val="00861E56"/>
    <w:rsid w:val="00876289"/>
    <w:rsid w:val="008812B7"/>
    <w:rsid w:val="008A1CCA"/>
    <w:rsid w:val="008A5053"/>
    <w:rsid w:val="008B7880"/>
    <w:rsid w:val="008C3008"/>
    <w:rsid w:val="008D3C1B"/>
    <w:rsid w:val="008D4CC4"/>
    <w:rsid w:val="008E34E8"/>
    <w:rsid w:val="008F06CC"/>
    <w:rsid w:val="008F795C"/>
    <w:rsid w:val="0090116E"/>
    <w:rsid w:val="00914842"/>
    <w:rsid w:val="009310E9"/>
    <w:rsid w:val="009409B3"/>
    <w:rsid w:val="00956F11"/>
    <w:rsid w:val="00971946"/>
    <w:rsid w:val="00982D0B"/>
    <w:rsid w:val="00982FE7"/>
    <w:rsid w:val="009A7296"/>
    <w:rsid w:val="009B0041"/>
    <w:rsid w:val="009B6807"/>
    <w:rsid w:val="009C6C94"/>
    <w:rsid w:val="009E4AE3"/>
    <w:rsid w:val="009F542D"/>
    <w:rsid w:val="009F5E6A"/>
    <w:rsid w:val="00A02413"/>
    <w:rsid w:val="00A200BA"/>
    <w:rsid w:val="00A3474F"/>
    <w:rsid w:val="00A41F8F"/>
    <w:rsid w:val="00A4346F"/>
    <w:rsid w:val="00A54304"/>
    <w:rsid w:val="00A75F35"/>
    <w:rsid w:val="00A7652F"/>
    <w:rsid w:val="00A86B1E"/>
    <w:rsid w:val="00A86D20"/>
    <w:rsid w:val="00A87141"/>
    <w:rsid w:val="00A905E3"/>
    <w:rsid w:val="00A90A25"/>
    <w:rsid w:val="00A94874"/>
    <w:rsid w:val="00A962D3"/>
    <w:rsid w:val="00AC084A"/>
    <w:rsid w:val="00AC1960"/>
    <w:rsid w:val="00AD2A55"/>
    <w:rsid w:val="00AE5B03"/>
    <w:rsid w:val="00B02216"/>
    <w:rsid w:val="00B13552"/>
    <w:rsid w:val="00B15870"/>
    <w:rsid w:val="00B33B2D"/>
    <w:rsid w:val="00B510BA"/>
    <w:rsid w:val="00B559CB"/>
    <w:rsid w:val="00B7114A"/>
    <w:rsid w:val="00B95798"/>
    <w:rsid w:val="00BB3F8E"/>
    <w:rsid w:val="00BB59B1"/>
    <w:rsid w:val="00BC27A0"/>
    <w:rsid w:val="00BE26A6"/>
    <w:rsid w:val="00BE2838"/>
    <w:rsid w:val="00BF6A93"/>
    <w:rsid w:val="00BF7F58"/>
    <w:rsid w:val="00C03A92"/>
    <w:rsid w:val="00C10F40"/>
    <w:rsid w:val="00C1105C"/>
    <w:rsid w:val="00C17774"/>
    <w:rsid w:val="00C2035C"/>
    <w:rsid w:val="00C23507"/>
    <w:rsid w:val="00C23533"/>
    <w:rsid w:val="00C26013"/>
    <w:rsid w:val="00C321FF"/>
    <w:rsid w:val="00C352D2"/>
    <w:rsid w:val="00C41956"/>
    <w:rsid w:val="00C479EF"/>
    <w:rsid w:val="00C5070C"/>
    <w:rsid w:val="00C604ED"/>
    <w:rsid w:val="00C60D77"/>
    <w:rsid w:val="00C704B4"/>
    <w:rsid w:val="00C70FDD"/>
    <w:rsid w:val="00C71843"/>
    <w:rsid w:val="00C81E5F"/>
    <w:rsid w:val="00C84DA7"/>
    <w:rsid w:val="00CB0C60"/>
    <w:rsid w:val="00CB70E5"/>
    <w:rsid w:val="00CC17F9"/>
    <w:rsid w:val="00CC2CDB"/>
    <w:rsid w:val="00CD137F"/>
    <w:rsid w:val="00CD45F0"/>
    <w:rsid w:val="00CE7F96"/>
    <w:rsid w:val="00CF640B"/>
    <w:rsid w:val="00D17D51"/>
    <w:rsid w:val="00D456C5"/>
    <w:rsid w:val="00D50329"/>
    <w:rsid w:val="00D5205A"/>
    <w:rsid w:val="00D60273"/>
    <w:rsid w:val="00D63063"/>
    <w:rsid w:val="00D64C24"/>
    <w:rsid w:val="00D72F8B"/>
    <w:rsid w:val="00D949EB"/>
    <w:rsid w:val="00D95B71"/>
    <w:rsid w:val="00DA456F"/>
    <w:rsid w:val="00DA5A39"/>
    <w:rsid w:val="00DC7932"/>
    <w:rsid w:val="00DD2892"/>
    <w:rsid w:val="00DE2DA2"/>
    <w:rsid w:val="00DE6267"/>
    <w:rsid w:val="00DE7E4F"/>
    <w:rsid w:val="00E20A8C"/>
    <w:rsid w:val="00E223CF"/>
    <w:rsid w:val="00E254C2"/>
    <w:rsid w:val="00E31B81"/>
    <w:rsid w:val="00E46084"/>
    <w:rsid w:val="00E74976"/>
    <w:rsid w:val="00E7767F"/>
    <w:rsid w:val="00E8150F"/>
    <w:rsid w:val="00E839B7"/>
    <w:rsid w:val="00E87CC1"/>
    <w:rsid w:val="00EA5747"/>
    <w:rsid w:val="00EB0CFF"/>
    <w:rsid w:val="00EB696B"/>
    <w:rsid w:val="00EE433F"/>
    <w:rsid w:val="00EE4875"/>
    <w:rsid w:val="00F128E2"/>
    <w:rsid w:val="00F17BC6"/>
    <w:rsid w:val="00F201D9"/>
    <w:rsid w:val="00F261A5"/>
    <w:rsid w:val="00F31A4E"/>
    <w:rsid w:val="00F349BB"/>
    <w:rsid w:val="00F374AF"/>
    <w:rsid w:val="00F44BE8"/>
    <w:rsid w:val="00F46CA4"/>
    <w:rsid w:val="00F67F02"/>
    <w:rsid w:val="00FA6DC4"/>
    <w:rsid w:val="00FB18D5"/>
    <w:rsid w:val="00FC1BE4"/>
    <w:rsid w:val="00FC3973"/>
    <w:rsid w:val="00FC58B1"/>
    <w:rsid w:val="00FD0B44"/>
    <w:rsid w:val="00FD1FA5"/>
    <w:rsid w:val="00FD2425"/>
    <w:rsid w:val="00FD3828"/>
    <w:rsid w:val="00FE4157"/>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77E"/>
  <w15:chartTrackingRefBased/>
  <w15:docId w15:val="{0F34C7FE-D584-4A09-8C16-D692D3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migazete.gov.tr/eskiler/2026/04/20260414-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1954</TotalTime>
  <Pages>4</Pages>
  <Words>1205</Words>
  <Characters>8147</Characters>
  <Application>Microsoft Office Word</Application>
  <DocSecurity>0</DocSecurity>
  <Lines>114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15</cp:revision>
  <dcterms:created xsi:type="dcterms:W3CDTF">2025-12-19T13:27:00Z</dcterms:created>
  <dcterms:modified xsi:type="dcterms:W3CDTF">2026-04-17T08:21:00Z</dcterms:modified>
</cp:coreProperties>
</file>