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0010A" w14:textId="3CAFD7E2" w:rsidR="00CE6F86" w:rsidRDefault="00CE6F86" w:rsidP="00D529E3">
      <w:pPr>
        <w:spacing w:after="0" w:line="240" w:lineRule="auto"/>
        <w:jc w:val="center"/>
        <w:rPr>
          <w:b/>
          <w:bCs/>
          <w:sz w:val="36"/>
          <w:szCs w:val="36"/>
        </w:rPr>
      </w:pPr>
      <w:r>
        <w:rPr>
          <w:b/>
          <w:bCs/>
          <w:sz w:val="36"/>
          <w:szCs w:val="36"/>
        </w:rPr>
        <w:t xml:space="preserve">VERGİ MEVZUATINDAKİ GELİŞMELER </w:t>
      </w:r>
      <w:r w:rsidR="00D529E3" w:rsidRPr="00D529E3">
        <w:rPr>
          <w:b/>
          <w:bCs/>
          <w:sz w:val="36"/>
          <w:szCs w:val="36"/>
        </w:rPr>
        <w:t>2026/</w:t>
      </w:r>
      <w:r>
        <w:rPr>
          <w:b/>
          <w:bCs/>
          <w:sz w:val="36"/>
          <w:szCs w:val="36"/>
        </w:rPr>
        <w:t>HAZİRAN-2</w:t>
      </w:r>
    </w:p>
    <w:p w14:paraId="13966891" w14:textId="6BC7FF0A" w:rsidR="00D529E3" w:rsidRPr="00D529E3" w:rsidRDefault="00D529E3" w:rsidP="00D529E3">
      <w:pPr>
        <w:spacing w:after="0" w:line="240" w:lineRule="auto"/>
        <w:jc w:val="center"/>
        <w:rPr>
          <w:b/>
          <w:bCs/>
          <w:sz w:val="18"/>
          <w:szCs w:val="18"/>
        </w:rPr>
      </w:pPr>
      <w:r w:rsidRPr="00D529E3">
        <w:rPr>
          <w:b/>
          <w:bCs/>
          <w:sz w:val="18"/>
          <w:szCs w:val="18"/>
        </w:rPr>
        <w:t>(</w:t>
      </w:r>
      <w:r w:rsidR="00DE6536">
        <w:rPr>
          <w:b/>
          <w:bCs/>
          <w:sz w:val="18"/>
          <w:szCs w:val="18"/>
        </w:rPr>
        <w:t>0</w:t>
      </w:r>
      <w:r w:rsidR="00A01DBB">
        <w:rPr>
          <w:b/>
          <w:bCs/>
          <w:sz w:val="18"/>
          <w:szCs w:val="18"/>
        </w:rPr>
        <w:t>6</w:t>
      </w:r>
      <w:r>
        <w:rPr>
          <w:b/>
          <w:bCs/>
          <w:sz w:val="18"/>
          <w:szCs w:val="18"/>
        </w:rPr>
        <w:t>.</w:t>
      </w:r>
      <w:r w:rsidRPr="00D529E3">
        <w:rPr>
          <w:b/>
          <w:bCs/>
          <w:sz w:val="18"/>
          <w:szCs w:val="18"/>
        </w:rPr>
        <w:t>0</w:t>
      </w:r>
      <w:r w:rsidR="00DE6536">
        <w:rPr>
          <w:b/>
          <w:bCs/>
          <w:sz w:val="18"/>
          <w:szCs w:val="18"/>
        </w:rPr>
        <w:t>6</w:t>
      </w:r>
      <w:r w:rsidRPr="00D529E3">
        <w:rPr>
          <w:b/>
          <w:bCs/>
          <w:sz w:val="18"/>
          <w:szCs w:val="18"/>
        </w:rPr>
        <w:t>.2026</w:t>
      </w:r>
      <w:r w:rsidR="00D23DAA">
        <w:rPr>
          <w:b/>
          <w:bCs/>
          <w:sz w:val="18"/>
          <w:szCs w:val="18"/>
        </w:rPr>
        <w:t>-13.06.2026</w:t>
      </w:r>
      <w:r w:rsidRPr="00D529E3">
        <w:rPr>
          <w:b/>
          <w:bCs/>
          <w:sz w:val="18"/>
          <w:szCs w:val="18"/>
        </w:rPr>
        <w:t>)</w:t>
      </w:r>
    </w:p>
    <w:p w14:paraId="559243FA" w14:textId="77777777" w:rsidR="00C23507" w:rsidRPr="00D23DAA" w:rsidRDefault="00C23507">
      <w:pPr>
        <w:rPr>
          <w:b/>
          <w:bCs/>
          <w:sz w:val="26"/>
          <w:szCs w:val="26"/>
        </w:rPr>
      </w:pPr>
    </w:p>
    <w:p w14:paraId="78D60710" w14:textId="6E80E243" w:rsidR="00D23DAA" w:rsidRPr="00D23DAA" w:rsidRDefault="00D23DAA" w:rsidP="00D529E3">
      <w:pPr>
        <w:jc w:val="both"/>
        <w:rPr>
          <w:b/>
          <w:bCs/>
          <w:sz w:val="26"/>
          <w:szCs w:val="26"/>
        </w:rPr>
      </w:pPr>
      <w:r w:rsidRPr="00D23DAA">
        <w:rPr>
          <w:b/>
          <w:bCs/>
          <w:sz w:val="26"/>
          <w:szCs w:val="26"/>
        </w:rPr>
        <w:t>I- "KÜRESEL ASGARİ TAMAMLAYICI KURUMLAR VERGİSİ BİLGİLERİNİN DEĞİŞİMİNE İLİŞKİN ÇOK TARAFLI YETKİLİ MAKAM ANLAŞMASI” YAYIMLANMIŞTIR</w:t>
      </w:r>
    </w:p>
    <w:p w14:paraId="105839F6" w14:textId="45D9EF11" w:rsidR="00B62534" w:rsidRDefault="00A01DBB" w:rsidP="00D23DAA">
      <w:pPr>
        <w:jc w:val="both"/>
      </w:pPr>
      <w:r w:rsidRPr="00A01DBB">
        <w:t>"</w:t>
      </w:r>
      <w:r>
        <w:t>K</w:t>
      </w:r>
      <w:r w:rsidRPr="00A01DBB">
        <w:t xml:space="preserve">üresel Asgari Tamamlayıcı Kurumlar Vergisi Bilgilerinin Değişimine İlişkin Çok Taraflı Yetkili Makam </w:t>
      </w:r>
      <w:r>
        <w:t xml:space="preserve">Anlaşması” </w:t>
      </w:r>
      <w:r w:rsidR="00DE6536">
        <w:t>0</w:t>
      </w:r>
      <w:r>
        <w:t>6</w:t>
      </w:r>
      <w:r w:rsidR="00B62534">
        <w:t xml:space="preserve"> </w:t>
      </w:r>
      <w:r w:rsidR="00DE6536">
        <w:t>Haziran</w:t>
      </w:r>
      <w:r w:rsidR="00B62534">
        <w:t xml:space="preserve"> 2026 tarihli ve 332</w:t>
      </w:r>
      <w:r w:rsidR="00DE6536">
        <w:t>7</w:t>
      </w:r>
      <w:r>
        <w:t>2</w:t>
      </w:r>
      <w:r w:rsidR="00B62534">
        <w:t xml:space="preserve"> sayılı Resmî Gazete’de yayımlan</w:t>
      </w:r>
      <w:r>
        <w:t>mıştır. 11396 sayılı Milletlerarası Andlaşma, 05.06.2026 tarihinde Cumhurbaşkanı’nca onaylanmıştır.</w:t>
      </w:r>
    </w:p>
    <w:p w14:paraId="01D30642" w14:textId="36616D59" w:rsidR="00A01DBB" w:rsidRDefault="00A01DBB" w:rsidP="00D23DAA">
      <w:pPr>
        <w:jc w:val="both"/>
      </w:pPr>
      <w:r>
        <w:t>Söz konusu Milletlerarası Andlaşmanın içeriği madde başlıklarıyla beraber aşağıdaki gibidir:</w:t>
      </w:r>
    </w:p>
    <w:p w14:paraId="4ACB01DA" w14:textId="743E9C21" w:rsidR="00A01DBB" w:rsidRDefault="00A01DBB" w:rsidP="00D23DAA">
      <w:pPr>
        <w:spacing w:after="0" w:line="240" w:lineRule="auto"/>
        <w:jc w:val="both"/>
      </w:pPr>
      <w:r>
        <w:t>Madde1- Tanımlar</w:t>
      </w:r>
    </w:p>
    <w:p w14:paraId="7B7ADF52" w14:textId="401D1B04" w:rsidR="00A01DBB" w:rsidRDefault="00A01DBB" w:rsidP="00D23DAA">
      <w:pPr>
        <w:spacing w:after="0" w:line="240" w:lineRule="auto"/>
        <w:jc w:val="both"/>
      </w:pPr>
      <w:r>
        <w:t>Madde2- Küresel ATV Bilgi Beyannamelerinde Yer Alan Bilgilerin Değişimi</w:t>
      </w:r>
    </w:p>
    <w:p w14:paraId="670F8654" w14:textId="2A66252E" w:rsidR="00A01DBB" w:rsidRDefault="00A01DBB" w:rsidP="00D23DAA">
      <w:pPr>
        <w:spacing w:after="0" w:line="240" w:lineRule="auto"/>
        <w:jc w:val="both"/>
      </w:pPr>
      <w:r>
        <w:t>Madde3- Bilgi Değişiminin Zamanı ve Yönetimi</w:t>
      </w:r>
    </w:p>
    <w:p w14:paraId="2BC71FC3" w14:textId="30B78B93" w:rsidR="00A01DBB" w:rsidRDefault="00A01DBB" w:rsidP="00D23DAA">
      <w:pPr>
        <w:spacing w:after="0" w:line="240" w:lineRule="auto"/>
        <w:jc w:val="both"/>
      </w:pPr>
      <w:r>
        <w:t>Madde 4- Düzeltmeler Konusunda İş</w:t>
      </w:r>
      <w:r w:rsidR="0043241E">
        <w:t xml:space="preserve"> B</w:t>
      </w:r>
      <w:r>
        <w:t>irliği, Uyum ve Yaptırımlar</w:t>
      </w:r>
    </w:p>
    <w:p w14:paraId="24DF2D71" w14:textId="654CA70C" w:rsidR="00A01DBB" w:rsidRDefault="00A01DBB" w:rsidP="00D23DAA">
      <w:pPr>
        <w:spacing w:after="0" w:line="240" w:lineRule="auto"/>
        <w:jc w:val="both"/>
      </w:pPr>
      <w:r>
        <w:t>Madde 5- Gizlilik ve Veri Koruma Önlemleri</w:t>
      </w:r>
    </w:p>
    <w:p w14:paraId="5B3EE13E" w14:textId="3D2CEDBC" w:rsidR="00A01DBB" w:rsidRDefault="00A01DBB" w:rsidP="00D23DAA">
      <w:pPr>
        <w:spacing w:after="0" w:line="240" w:lineRule="auto"/>
        <w:jc w:val="both"/>
      </w:pPr>
      <w:r>
        <w:t>Madde 6- İstişareler</w:t>
      </w:r>
    </w:p>
    <w:p w14:paraId="16F3E9B1" w14:textId="1D66276D" w:rsidR="00A01DBB" w:rsidRDefault="00A01DBB" w:rsidP="00D23DAA">
      <w:pPr>
        <w:spacing w:after="0" w:line="240" w:lineRule="auto"/>
        <w:jc w:val="both"/>
      </w:pPr>
      <w:r>
        <w:t>Madde 7- Değişiklikler</w:t>
      </w:r>
    </w:p>
    <w:p w14:paraId="5D05ADAB" w14:textId="749FD0D4" w:rsidR="00A01DBB" w:rsidRDefault="00A01DBB" w:rsidP="00D23DAA">
      <w:pPr>
        <w:spacing w:after="0" w:line="240" w:lineRule="auto"/>
        <w:jc w:val="both"/>
      </w:pPr>
      <w:r>
        <w:t>Madde 8- Genel Hükümler</w:t>
      </w:r>
    </w:p>
    <w:p w14:paraId="5BA16E1C" w14:textId="2EEB76D6" w:rsidR="00A01DBB" w:rsidRDefault="00A01DBB" w:rsidP="00D23DAA">
      <w:pPr>
        <w:spacing w:after="0" w:line="240" w:lineRule="auto"/>
        <w:jc w:val="both"/>
      </w:pPr>
      <w:r>
        <w:t>Madde 9- Eşgüdüm Organı Sekreteryası</w:t>
      </w:r>
    </w:p>
    <w:p w14:paraId="563CCEF6" w14:textId="77777777" w:rsidR="00F83FCE" w:rsidRDefault="00F83FCE" w:rsidP="00D23DAA">
      <w:pPr>
        <w:jc w:val="both"/>
      </w:pPr>
    </w:p>
    <w:p w14:paraId="48F73550" w14:textId="76CC992F" w:rsidR="00F83FCE" w:rsidRDefault="00F83FCE" w:rsidP="00D529E3">
      <w:pPr>
        <w:jc w:val="both"/>
      </w:pPr>
      <w:r>
        <w:t xml:space="preserve">Onaylanan bu Andlaşma ile ülkemizde yürürlüğe giren “küresel asgari tamamlayıcı kurumlar vergisi </w:t>
      </w:r>
      <w:r w:rsidR="00102D6D">
        <w:t xml:space="preserve">(ATV) </w:t>
      </w:r>
      <w:r>
        <w:t xml:space="preserve">uygulamasında anlaşmaya taraf diğer ülkelerle otomatik olarak bilgi değişimi yapılacaktır. Böylece, uygulamanın taraflarının beyanları tespit edilerek, kazançlar takip edilebilecek ve söz konusu beyanların yasal düzenlemelere uygunluğu kontrol edilebilecektir. </w:t>
      </w:r>
    </w:p>
    <w:p w14:paraId="77170FA0" w14:textId="07CD1983" w:rsidR="00F83FCE" w:rsidRDefault="00F83FCE" w:rsidP="00F83FCE">
      <w:pPr>
        <w:jc w:val="both"/>
      </w:pPr>
      <w:r w:rsidRPr="00F83FCE">
        <w:t>Türkiye, KVK'ya göre %15'in altında vergi ödeyen çok uluslu şirketlerden "tamamlayıcı vergi" isteme hakkına sahipti</w:t>
      </w:r>
      <w:r>
        <w:t>r</w:t>
      </w:r>
      <w:r w:rsidRPr="00F83FCE">
        <w:t>. Ancak şirketlerin yurt dışındaki diğer ülkelerde ne kadar kâr elde ettiğini, oralarda efektif olarak yüzde kaç vergi ödediğini yasal ve otomatik olarak gör</w:t>
      </w:r>
      <w:r>
        <w:t>ebilmek, uzun bir bilgi değişimi prosedürünü gerektirmekteydi. D</w:t>
      </w:r>
      <w:r w:rsidRPr="00F83FCE">
        <w:t>iğer ülkelerden resm</w:t>
      </w:r>
      <w:r>
        <w:t>î</w:t>
      </w:r>
      <w:r w:rsidRPr="00F83FCE">
        <w:t xml:space="preserve"> yazı yollayarak </w:t>
      </w:r>
      <w:r>
        <w:t xml:space="preserve">bilgi değişimi kapsamında </w:t>
      </w:r>
      <w:r w:rsidRPr="00F83FCE">
        <w:t xml:space="preserve">tek tek bilgi istemek devasa çok uluslu şirketlerin milyarlarca liralık veri ağını denetlemek için tamamen yetersiz ve </w:t>
      </w:r>
      <w:r>
        <w:t>kavranması güç bir yapı oluşturmaktaydı.</w:t>
      </w:r>
    </w:p>
    <w:p w14:paraId="75401BF7" w14:textId="3D177F42" w:rsidR="00F83FCE" w:rsidRDefault="00F83FCE" w:rsidP="00F83FCE">
      <w:pPr>
        <w:jc w:val="both"/>
      </w:pPr>
      <w:r>
        <w:t xml:space="preserve">Yapılan, imzalanan ve onaylanan Milletlerarası Anlaşma ile Küresel ATV Bilgi Beyannamesinde yer alan bilgiler, bilginin ait olduğu raporlanan hesap dönemi için gönderen ülkedeki beyan verme süresinin son gününden itibaren </w:t>
      </w:r>
      <w:r w:rsidR="00902E06">
        <w:t>en geç üç ay içinde değiştirilecektir.</w:t>
      </w:r>
    </w:p>
    <w:p w14:paraId="6281393B" w14:textId="6B65E649" w:rsidR="00102D6D" w:rsidRDefault="00102D6D" w:rsidP="00F83FCE">
      <w:pPr>
        <w:jc w:val="both"/>
      </w:pPr>
      <w:r>
        <w:t xml:space="preserve">Bu konudaki ayrıntılı bilgilere 06 Haziran 2026 tarihli ve 33272 sayılı Resmî Gazete’de yayımlanan </w:t>
      </w:r>
      <w:r w:rsidRPr="00A01DBB">
        <w:t>"</w:t>
      </w:r>
      <w:r>
        <w:t>K</w:t>
      </w:r>
      <w:r w:rsidRPr="00A01DBB">
        <w:t xml:space="preserve">üresel Asgari Tamamlayıcı Kurumlar Vergisi Bilgilerinin Değişimine İlişkin Çok Taraflı Yetkili Makam </w:t>
      </w:r>
      <w:r>
        <w:t>Anlaşması”ndan ulaşılabilir.</w:t>
      </w:r>
    </w:p>
    <w:p w14:paraId="27BA976C" w14:textId="355C75B2" w:rsidR="00102D6D" w:rsidRDefault="00102D6D" w:rsidP="00F83FCE">
      <w:pPr>
        <w:jc w:val="both"/>
      </w:pPr>
      <w:hyperlink r:id="rId7" w:history="1">
        <w:r w:rsidRPr="00802781">
          <w:rPr>
            <w:rStyle w:val="Kpr"/>
          </w:rPr>
          <w:t>https://www.resmigazete.gov.tr/eskiler/2026/06/20260606-1.pdf</w:t>
        </w:r>
      </w:hyperlink>
    </w:p>
    <w:p w14:paraId="7E4F25A3" w14:textId="77777777" w:rsidR="00D23DAA" w:rsidRDefault="00D23DAA" w:rsidP="00F83FCE">
      <w:pPr>
        <w:jc w:val="both"/>
      </w:pPr>
    </w:p>
    <w:p w14:paraId="1B8A5259" w14:textId="77777777" w:rsidR="005067B8" w:rsidRDefault="005067B8" w:rsidP="00F83FCE">
      <w:pPr>
        <w:jc w:val="both"/>
      </w:pPr>
    </w:p>
    <w:p w14:paraId="3D0FFE64" w14:textId="77777777" w:rsidR="005067B8" w:rsidRDefault="005067B8" w:rsidP="00F83FCE">
      <w:pPr>
        <w:jc w:val="both"/>
      </w:pPr>
    </w:p>
    <w:p w14:paraId="38E01D12" w14:textId="7B0744A1" w:rsidR="00D23DAA" w:rsidRPr="00D23DAA" w:rsidRDefault="00D23DAA" w:rsidP="00F83FCE">
      <w:pPr>
        <w:jc w:val="both"/>
        <w:rPr>
          <w:b/>
          <w:bCs/>
          <w:sz w:val="26"/>
          <w:szCs w:val="26"/>
        </w:rPr>
      </w:pPr>
      <w:r w:rsidRPr="00D23DAA">
        <w:rPr>
          <w:b/>
          <w:bCs/>
          <w:sz w:val="26"/>
          <w:szCs w:val="26"/>
        </w:rPr>
        <w:t xml:space="preserve">II- AMME ALACAKLARININ TAHSİL USULU HAKKINDAKİ KANUN’UN </w:t>
      </w:r>
      <w:r>
        <w:rPr>
          <w:b/>
          <w:bCs/>
          <w:sz w:val="26"/>
          <w:szCs w:val="26"/>
        </w:rPr>
        <w:t xml:space="preserve">(AATUHK’UN) </w:t>
      </w:r>
      <w:r w:rsidRPr="00D23DAA">
        <w:rPr>
          <w:b/>
          <w:bCs/>
          <w:sz w:val="26"/>
          <w:szCs w:val="26"/>
        </w:rPr>
        <w:t xml:space="preserve">48. MADDESİNDEKİ TEMİNAT </w:t>
      </w:r>
      <w:r w:rsidR="006B6595">
        <w:rPr>
          <w:b/>
          <w:bCs/>
          <w:sz w:val="26"/>
          <w:szCs w:val="26"/>
        </w:rPr>
        <w:t xml:space="preserve">ŞARTI </w:t>
      </w:r>
      <w:r w:rsidRPr="00D23DAA">
        <w:rPr>
          <w:b/>
          <w:bCs/>
          <w:sz w:val="26"/>
          <w:szCs w:val="26"/>
        </w:rPr>
        <w:t>ARANMAYACAK TUTAR 10 MİLYON TL OLARAK BELİRLENMİŞTİR</w:t>
      </w:r>
    </w:p>
    <w:p w14:paraId="70F11F1E" w14:textId="4E7AAA30" w:rsidR="00D23DAA" w:rsidRDefault="00D23DAA" w:rsidP="00F83FCE">
      <w:pPr>
        <w:jc w:val="both"/>
      </w:pPr>
      <w:r>
        <w:t>11414 sayılı Cumhurbaşkanı Kararı, 13 Haziran 2026 tarihli ve 33279 sayılı Resmî Gazete’de yayımlanmıştır. Söz konusu Karar ile AATUHK’un 48. maddesinin ikinci fıkrasında yer alan tutarın on milyon TL olarak uygulanmasına karar verilmiştir. AATUHK’un 48. maddesinin 2. fıkrasının son hali aşağıdaki gibidir:</w:t>
      </w:r>
    </w:p>
    <w:p w14:paraId="56FC64EC" w14:textId="0414A1D8" w:rsidR="00D23DAA" w:rsidRPr="00D23DAA" w:rsidRDefault="00D23DAA" w:rsidP="00D23DAA">
      <w:pPr>
        <w:shd w:val="clear" w:color="auto" w:fill="F2F2F2" w:themeFill="background1" w:themeFillShade="F2"/>
        <w:jc w:val="both"/>
        <w:rPr>
          <w:i/>
          <w:iCs/>
          <w:sz w:val="20"/>
          <w:szCs w:val="20"/>
        </w:rPr>
      </w:pPr>
      <w:r w:rsidRPr="00D23DAA">
        <w:rPr>
          <w:i/>
          <w:iCs/>
          <w:sz w:val="20"/>
          <w:szCs w:val="20"/>
        </w:rPr>
        <w:t>“…Şu kadar ki, amme borçlusunun alacaklı tahsil daireleri itibarıyla tecil edilen borçlarının toplamı bir milyon Türk lirasını </w:t>
      </w:r>
      <w:r w:rsidRPr="00D23DAA">
        <w:rPr>
          <w:b/>
          <w:bCs/>
          <w:i/>
          <w:iCs/>
          <w:sz w:val="20"/>
          <w:szCs w:val="20"/>
        </w:rPr>
        <w:t>(13/06/2026 tarihli ve 33279 sayılı Resmî Gazete’de yayımlanan 11414 sayılı Cumhurbaşkanı Kararı ile on milyon Türk Lirası)</w:t>
      </w:r>
      <w:r w:rsidRPr="00D23DAA">
        <w:rPr>
          <w:i/>
          <w:iCs/>
          <w:sz w:val="20"/>
          <w:szCs w:val="20"/>
        </w:rPr>
        <w:t> (bu tutar dahil) aşmadığı takdirde teminat şartı aranılmaz. Bu tutarın üzerindeki amme alacaklarının tecilinde, gösterilmesi zorunlu teminat tutarı bir milyon Türk lirasını </w:t>
      </w:r>
      <w:r w:rsidRPr="00D23DAA">
        <w:rPr>
          <w:b/>
          <w:bCs/>
          <w:i/>
          <w:iCs/>
          <w:sz w:val="20"/>
          <w:szCs w:val="20"/>
        </w:rPr>
        <w:t>(13/06/2026 tarihli ve 33279 sayılı Resmî Gazete’de yayımlanan 11414 sayılı Cumhurbaşkanı Kararı ile on milyon Türk Lirası) </w:t>
      </w:r>
      <w:r w:rsidRPr="00D23DAA">
        <w:rPr>
          <w:i/>
          <w:iCs/>
          <w:sz w:val="20"/>
          <w:szCs w:val="20"/>
        </w:rPr>
        <w:t>aşan kısmın yarısıdır.  Cumhurbaşkanı; bu tutarı on katına kadar artırmaya, yarısına kadar indirmeye, yeniden kanuni tutarına getirmeye ve alacaklı amme idareleri itibarıyla bu hadler arasında farklı tutar belirlemeye yetkilidir.”</w:t>
      </w:r>
    </w:p>
    <w:p w14:paraId="3B9B2F44" w14:textId="77777777" w:rsidR="00D23DAA" w:rsidRDefault="00D23DAA" w:rsidP="00F83FCE">
      <w:pPr>
        <w:jc w:val="both"/>
      </w:pPr>
    </w:p>
    <w:p w14:paraId="3F3628FF" w14:textId="77777777" w:rsidR="00D23DAA" w:rsidRDefault="00D23DAA" w:rsidP="00F83FCE">
      <w:pPr>
        <w:jc w:val="both"/>
      </w:pPr>
    </w:p>
    <w:sectPr w:rsidR="00D23DA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62E40" w14:textId="77777777" w:rsidR="007D034D" w:rsidRDefault="007D034D" w:rsidP="000A5811">
      <w:pPr>
        <w:spacing w:after="0" w:line="240" w:lineRule="auto"/>
      </w:pPr>
      <w:r>
        <w:separator/>
      </w:r>
    </w:p>
  </w:endnote>
  <w:endnote w:type="continuationSeparator" w:id="0">
    <w:p w14:paraId="32BDF0D1" w14:textId="77777777" w:rsidR="007D034D" w:rsidRDefault="007D034D" w:rsidP="000A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8886" w14:textId="77777777" w:rsidR="000D40FB" w:rsidRDefault="000D40F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29744"/>
      <w:docPartObj>
        <w:docPartGallery w:val="Page Numbers (Bottom of Page)"/>
        <w:docPartUnique/>
      </w:docPartObj>
    </w:sdtPr>
    <w:sdtEndPr/>
    <w:sdtContent>
      <w:p w14:paraId="0ADE6AB7" w14:textId="0F3A859B" w:rsidR="005067B8" w:rsidRDefault="005067B8">
        <w:pPr>
          <w:pStyle w:val="AltBilgi"/>
          <w:jc w:val="right"/>
        </w:pPr>
        <w:r>
          <w:fldChar w:fldCharType="begin"/>
        </w:r>
        <w:r>
          <w:instrText>PAGE   \* MERGEFORMAT</w:instrText>
        </w:r>
        <w:r>
          <w:fldChar w:fldCharType="separate"/>
        </w:r>
        <w:r>
          <w:t>2</w:t>
        </w:r>
        <w:r>
          <w:fldChar w:fldCharType="end"/>
        </w:r>
      </w:p>
    </w:sdtContent>
  </w:sdt>
  <w:p w14:paraId="5716D573" w14:textId="77777777" w:rsidR="000A5811" w:rsidRDefault="000A58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293A" w14:textId="77777777" w:rsidR="000D40FB" w:rsidRDefault="000D40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4A3F" w14:textId="77777777" w:rsidR="007D034D" w:rsidRDefault="007D034D" w:rsidP="000A5811">
      <w:pPr>
        <w:spacing w:after="0" w:line="240" w:lineRule="auto"/>
      </w:pPr>
      <w:r>
        <w:separator/>
      </w:r>
    </w:p>
  </w:footnote>
  <w:footnote w:type="continuationSeparator" w:id="0">
    <w:p w14:paraId="023A2D07" w14:textId="77777777" w:rsidR="007D034D" w:rsidRDefault="007D034D" w:rsidP="000A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2AA1" w14:textId="77777777" w:rsidR="000D40FB" w:rsidRDefault="000D40F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2568219F" w14:textId="3E40AE39" w:rsidR="000D40FB" w:rsidRDefault="000D40FB">
    <w:pPr>
      <w:pStyle w:val="stBilgi"/>
    </w:pPr>
    <w:r w:rsidRPr="00F22779">
      <w:rPr>
        <w:b/>
        <w:bCs/>
      </w:rPr>
      <w:object w:dxaOrig="9042" w:dyaOrig="1927" w14:anchorId="1E8A6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6.5pt">
          <v:imagedata r:id="rId1" o:title=""/>
        </v:shape>
        <o:OLEObject Type="Embed" ProgID="Word.Document.12" ShapeID="_x0000_i1025" DrawAspect="Content" ObjectID="_1843029915"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AF30" w14:textId="77777777" w:rsidR="000D40FB" w:rsidRDefault="000D40F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2CFE"/>
    <w:multiLevelType w:val="multilevel"/>
    <w:tmpl w:val="A8F6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5770F"/>
    <w:multiLevelType w:val="multilevel"/>
    <w:tmpl w:val="B250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11645">
    <w:abstractNumId w:val="0"/>
  </w:num>
  <w:num w:numId="2" w16cid:durableId="481699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E3"/>
    <w:rsid w:val="000148BB"/>
    <w:rsid w:val="00015583"/>
    <w:rsid w:val="000157F2"/>
    <w:rsid w:val="00076F8F"/>
    <w:rsid w:val="0009130F"/>
    <w:rsid w:val="00092220"/>
    <w:rsid w:val="000A2E6E"/>
    <w:rsid w:val="000A5811"/>
    <w:rsid w:val="000D40FB"/>
    <w:rsid w:val="000D6DF0"/>
    <w:rsid w:val="000F19C0"/>
    <w:rsid w:val="00102D6D"/>
    <w:rsid w:val="00125C8B"/>
    <w:rsid w:val="00141918"/>
    <w:rsid w:val="00157C79"/>
    <w:rsid w:val="00163A88"/>
    <w:rsid w:val="00176B82"/>
    <w:rsid w:val="00176EAD"/>
    <w:rsid w:val="001D7566"/>
    <w:rsid w:val="002010B6"/>
    <w:rsid w:val="00265A6C"/>
    <w:rsid w:val="002D2703"/>
    <w:rsid w:val="003419B1"/>
    <w:rsid w:val="00360EDA"/>
    <w:rsid w:val="00370686"/>
    <w:rsid w:val="00414138"/>
    <w:rsid w:val="0043241E"/>
    <w:rsid w:val="00447603"/>
    <w:rsid w:val="004665DE"/>
    <w:rsid w:val="004C7C1E"/>
    <w:rsid w:val="0050573C"/>
    <w:rsid w:val="005067B8"/>
    <w:rsid w:val="00520158"/>
    <w:rsid w:val="00536B19"/>
    <w:rsid w:val="00557814"/>
    <w:rsid w:val="005857DE"/>
    <w:rsid w:val="005A20D2"/>
    <w:rsid w:val="005D668F"/>
    <w:rsid w:val="005F0855"/>
    <w:rsid w:val="006018AD"/>
    <w:rsid w:val="0060563F"/>
    <w:rsid w:val="00616E52"/>
    <w:rsid w:val="00683C9C"/>
    <w:rsid w:val="006B6595"/>
    <w:rsid w:val="006C4F4C"/>
    <w:rsid w:val="00707660"/>
    <w:rsid w:val="00741F8F"/>
    <w:rsid w:val="00742FB8"/>
    <w:rsid w:val="00754D48"/>
    <w:rsid w:val="00781A02"/>
    <w:rsid w:val="00794D3A"/>
    <w:rsid w:val="007C25CA"/>
    <w:rsid w:val="007D034D"/>
    <w:rsid w:val="00857B7A"/>
    <w:rsid w:val="008727B7"/>
    <w:rsid w:val="008731D1"/>
    <w:rsid w:val="008B0FDF"/>
    <w:rsid w:val="008D6D8B"/>
    <w:rsid w:val="008F45ED"/>
    <w:rsid w:val="00902E06"/>
    <w:rsid w:val="00923A51"/>
    <w:rsid w:val="009A5CA4"/>
    <w:rsid w:val="009B6807"/>
    <w:rsid w:val="00A01DBB"/>
    <w:rsid w:val="00A212F0"/>
    <w:rsid w:val="00A54F15"/>
    <w:rsid w:val="00AA16B3"/>
    <w:rsid w:val="00AA40F3"/>
    <w:rsid w:val="00B07A09"/>
    <w:rsid w:val="00B11D56"/>
    <w:rsid w:val="00B3700F"/>
    <w:rsid w:val="00B40FBF"/>
    <w:rsid w:val="00B53A24"/>
    <w:rsid w:val="00B62534"/>
    <w:rsid w:val="00B82B71"/>
    <w:rsid w:val="00BC6D32"/>
    <w:rsid w:val="00BF1B4A"/>
    <w:rsid w:val="00C23507"/>
    <w:rsid w:val="00C322C0"/>
    <w:rsid w:val="00C37CF9"/>
    <w:rsid w:val="00C402D1"/>
    <w:rsid w:val="00C515A0"/>
    <w:rsid w:val="00C93063"/>
    <w:rsid w:val="00CD3963"/>
    <w:rsid w:val="00CE6F86"/>
    <w:rsid w:val="00D2291C"/>
    <w:rsid w:val="00D23DAA"/>
    <w:rsid w:val="00D529E3"/>
    <w:rsid w:val="00D57455"/>
    <w:rsid w:val="00D77903"/>
    <w:rsid w:val="00DE3DD2"/>
    <w:rsid w:val="00DE6536"/>
    <w:rsid w:val="00DF3189"/>
    <w:rsid w:val="00E02795"/>
    <w:rsid w:val="00E84C66"/>
    <w:rsid w:val="00E951F1"/>
    <w:rsid w:val="00F17CDC"/>
    <w:rsid w:val="00F31273"/>
    <w:rsid w:val="00F448F1"/>
    <w:rsid w:val="00F83F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86A7"/>
  <w15:chartTrackingRefBased/>
  <w15:docId w15:val="{70A12B10-432A-45DE-BD70-B871115D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529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529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529E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529E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529E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529E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529E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529E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529E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29E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529E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529E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529E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529E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529E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529E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529E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529E3"/>
    <w:rPr>
      <w:rFonts w:eastAsiaTheme="majorEastAsia" w:cstheme="majorBidi"/>
      <w:color w:val="272727" w:themeColor="text1" w:themeTint="D8"/>
    </w:rPr>
  </w:style>
  <w:style w:type="paragraph" w:styleId="KonuBal">
    <w:name w:val="Title"/>
    <w:basedOn w:val="Normal"/>
    <w:next w:val="Normal"/>
    <w:link w:val="KonuBalChar"/>
    <w:uiPriority w:val="10"/>
    <w:qFormat/>
    <w:rsid w:val="00D52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529E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529E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529E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529E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529E3"/>
    <w:rPr>
      <w:i/>
      <w:iCs/>
      <w:color w:val="404040" w:themeColor="text1" w:themeTint="BF"/>
    </w:rPr>
  </w:style>
  <w:style w:type="paragraph" w:styleId="ListeParagraf">
    <w:name w:val="List Paragraph"/>
    <w:basedOn w:val="Normal"/>
    <w:uiPriority w:val="34"/>
    <w:qFormat/>
    <w:rsid w:val="00D529E3"/>
    <w:pPr>
      <w:ind w:left="720"/>
      <w:contextualSpacing/>
    </w:pPr>
  </w:style>
  <w:style w:type="character" w:styleId="GlVurgulama">
    <w:name w:val="Intense Emphasis"/>
    <w:basedOn w:val="VarsaylanParagrafYazTipi"/>
    <w:uiPriority w:val="21"/>
    <w:qFormat/>
    <w:rsid w:val="00D529E3"/>
    <w:rPr>
      <w:i/>
      <w:iCs/>
      <w:color w:val="2F5496" w:themeColor="accent1" w:themeShade="BF"/>
    </w:rPr>
  </w:style>
  <w:style w:type="paragraph" w:styleId="GlAlnt">
    <w:name w:val="Intense Quote"/>
    <w:basedOn w:val="Normal"/>
    <w:next w:val="Normal"/>
    <w:link w:val="GlAlntChar"/>
    <w:uiPriority w:val="30"/>
    <w:qFormat/>
    <w:rsid w:val="00D52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529E3"/>
    <w:rPr>
      <w:i/>
      <w:iCs/>
      <w:color w:val="2F5496" w:themeColor="accent1" w:themeShade="BF"/>
    </w:rPr>
  </w:style>
  <w:style w:type="character" w:styleId="GlBavuru">
    <w:name w:val="Intense Reference"/>
    <w:basedOn w:val="VarsaylanParagrafYazTipi"/>
    <w:uiPriority w:val="32"/>
    <w:qFormat/>
    <w:rsid w:val="00D529E3"/>
    <w:rPr>
      <w:b/>
      <w:bCs/>
      <w:smallCaps/>
      <w:color w:val="2F5496" w:themeColor="accent1" w:themeShade="BF"/>
      <w:spacing w:val="5"/>
    </w:rPr>
  </w:style>
  <w:style w:type="character" w:styleId="Kpr">
    <w:name w:val="Hyperlink"/>
    <w:basedOn w:val="VarsaylanParagrafYazTipi"/>
    <w:uiPriority w:val="99"/>
    <w:unhideWhenUsed/>
    <w:rsid w:val="00D529E3"/>
    <w:rPr>
      <w:color w:val="0563C1" w:themeColor="hyperlink"/>
      <w:u w:val="single"/>
    </w:rPr>
  </w:style>
  <w:style w:type="character" w:styleId="zmlenmeyenBahsetme">
    <w:name w:val="Unresolved Mention"/>
    <w:basedOn w:val="VarsaylanParagrafYazTipi"/>
    <w:uiPriority w:val="99"/>
    <w:semiHidden/>
    <w:unhideWhenUsed/>
    <w:rsid w:val="00D529E3"/>
    <w:rPr>
      <w:color w:val="605E5C"/>
      <w:shd w:val="clear" w:color="auto" w:fill="E1DFDD"/>
    </w:rPr>
  </w:style>
  <w:style w:type="paragraph" w:styleId="stBilgi">
    <w:name w:val="header"/>
    <w:basedOn w:val="Normal"/>
    <w:link w:val="stBilgiChar"/>
    <w:uiPriority w:val="99"/>
    <w:unhideWhenUsed/>
    <w:rsid w:val="000A58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5811"/>
  </w:style>
  <w:style w:type="paragraph" w:styleId="AltBilgi">
    <w:name w:val="footer"/>
    <w:basedOn w:val="Normal"/>
    <w:link w:val="AltBilgiChar"/>
    <w:uiPriority w:val="99"/>
    <w:unhideWhenUsed/>
    <w:rsid w:val="000A58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5811"/>
  </w:style>
  <w:style w:type="paragraph" w:styleId="NormalWeb">
    <w:name w:val="Normal (Web)"/>
    <w:basedOn w:val="Normal"/>
    <w:uiPriority w:val="99"/>
    <w:semiHidden/>
    <w:unhideWhenUsed/>
    <w:rsid w:val="00DE65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migazete.gov.tr/eskiler/2026/06/20260606-1.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Pages>
  <Words>555</Words>
  <Characters>3166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56</cp:revision>
  <dcterms:created xsi:type="dcterms:W3CDTF">2026-05-19T08:30:00Z</dcterms:created>
  <dcterms:modified xsi:type="dcterms:W3CDTF">2026-06-15T08:59:00Z</dcterms:modified>
</cp:coreProperties>
</file>