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319C2" w14:textId="437AD3AB" w:rsidR="0059553D" w:rsidRPr="002C1D12" w:rsidRDefault="00476351" w:rsidP="0059553D">
      <w:pPr>
        <w:spacing w:after="0" w:line="240" w:lineRule="auto"/>
        <w:jc w:val="center"/>
        <w:rPr>
          <w:b/>
          <w:bCs/>
          <w:sz w:val="36"/>
          <w:szCs w:val="36"/>
        </w:rPr>
      </w:pPr>
      <w:r>
        <w:rPr>
          <w:b/>
          <w:bCs/>
          <w:sz w:val="36"/>
          <w:szCs w:val="36"/>
        </w:rPr>
        <w:t>VERGİ MEVZUATINDAKİ GELİŞMELER</w:t>
      </w:r>
      <w:r w:rsidR="0059553D" w:rsidRPr="002C1D12">
        <w:rPr>
          <w:b/>
          <w:bCs/>
          <w:sz w:val="36"/>
          <w:szCs w:val="36"/>
        </w:rPr>
        <w:t xml:space="preserve"> 2026/</w:t>
      </w:r>
      <w:r>
        <w:rPr>
          <w:b/>
          <w:bCs/>
          <w:sz w:val="36"/>
          <w:szCs w:val="36"/>
        </w:rPr>
        <w:t>EKİM-4</w:t>
      </w:r>
    </w:p>
    <w:p w14:paraId="2CF031AF" w14:textId="447BD7DF" w:rsidR="0059553D" w:rsidRPr="002C1D12" w:rsidRDefault="0059553D" w:rsidP="0059553D">
      <w:pPr>
        <w:spacing w:after="0" w:line="240" w:lineRule="auto"/>
        <w:jc w:val="center"/>
        <w:rPr>
          <w:b/>
          <w:bCs/>
          <w:sz w:val="18"/>
          <w:szCs w:val="18"/>
        </w:rPr>
      </w:pPr>
      <w:r w:rsidRPr="002C1D12">
        <w:rPr>
          <w:b/>
          <w:bCs/>
          <w:sz w:val="18"/>
          <w:szCs w:val="18"/>
        </w:rPr>
        <w:t>(</w:t>
      </w:r>
      <w:r>
        <w:rPr>
          <w:b/>
          <w:bCs/>
          <w:sz w:val="18"/>
          <w:szCs w:val="18"/>
        </w:rPr>
        <w:t>26</w:t>
      </w:r>
      <w:r w:rsidRPr="002C1D12">
        <w:rPr>
          <w:b/>
          <w:bCs/>
          <w:sz w:val="18"/>
          <w:szCs w:val="18"/>
        </w:rPr>
        <w:t>.10.2026</w:t>
      </w:r>
      <w:r w:rsidR="00187F1C">
        <w:rPr>
          <w:b/>
          <w:bCs/>
          <w:sz w:val="18"/>
          <w:szCs w:val="18"/>
        </w:rPr>
        <w:t>-27.10.2026</w:t>
      </w:r>
      <w:r w:rsidRPr="002C1D12">
        <w:rPr>
          <w:b/>
          <w:bCs/>
          <w:sz w:val="18"/>
          <w:szCs w:val="18"/>
        </w:rPr>
        <w:t>)</w:t>
      </w:r>
    </w:p>
    <w:p w14:paraId="15AECEBC" w14:textId="77777777" w:rsidR="0059553D" w:rsidRPr="00725AD6" w:rsidRDefault="0059553D" w:rsidP="0059553D"/>
    <w:p w14:paraId="6E3DB2B3" w14:textId="4B96F10F" w:rsidR="0059553D" w:rsidRDefault="0059553D" w:rsidP="0059553D">
      <w:pPr>
        <w:jc w:val="both"/>
        <w:rPr>
          <w:b/>
          <w:bCs/>
          <w:sz w:val="26"/>
          <w:szCs w:val="26"/>
        </w:rPr>
      </w:pPr>
      <w:r w:rsidRPr="00725AD6">
        <w:rPr>
          <w:b/>
          <w:bCs/>
          <w:sz w:val="26"/>
          <w:szCs w:val="26"/>
        </w:rPr>
        <w:t xml:space="preserve">I- </w:t>
      </w:r>
      <w:r w:rsidRPr="0059553D">
        <w:rPr>
          <w:b/>
          <w:bCs/>
          <w:sz w:val="26"/>
          <w:szCs w:val="26"/>
        </w:rPr>
        <w:t>FİRMALARIN YURT DIŞI KAYNAKLI DÖVİZLERİNİN TÜRK LİRASINA DÖNÜŞÜMÜNÜN DESTEKLENMESİ HAKKINDA TEBLİĞE İLİŞKİN</w:t>
      </w:r>
      <w:r>
        <w:rPr>
          <w:b/>
          <w:bCs/>
          <w:sz w:val="26"/>
          <w:szCs w:val="26"/>
        </w:rPr>
        <w:t xml:space="preserve"> </w:t>
      </w:r>
      <w:r w:rsidRPr="0059553D">
        <w:rPr>
          <w:b/>
          <w:bCs/>
          <w:sz w:val="26"/>
          <w:szCs w:val="26"/>
        </w:rPr>
        <w:t>UYGULAMA TALİMATI</w:t>
      </w:r>
      <w:r>
        <w:rPr>
          <w:b/>
          <w:bCs/>
          <w:sz w:val="26"/>
          <w:szCs w:val="26"/>
        </w:rPr>
        <w:t>NIN REVİZE EDİLMİŞ HALİ YAYIMLANMIŞTIR</w:t>
      </w:r>
    </w:p>
    <w:p w14:paraId="2383EBC7" w14:textId="523A166F" w:rsidR="0059553D" w:rsidRPr="0059553D" w:rsidRDefault="0059553D" w:rsidP="0059553D">
      <w:pPr>
        <w:jc w:val="both"/>
      </w:pPr>
      <w:r w:rsidRPr="0059553D">
        <w:t>TCMB, Firmaların Yurt Dışı Kaynaklı Dövizlerinin Türk Lirasına Dönüşümünün Desteklenmesi Hakkında Tebliğe İlişkin Uygulama Talimatının revize edilmiş halini 26.10.2026 tarihinde yayımlamıştır.</w:t>
      </w:r>
      <w:r>
        <w:t xml:space="preserve"> </w:t>
      </w:r>
    </w:p>
    <w:p w14:paraId="39308436" w14:textId="42540642" w:rsidR="00C23507" w:rsidRDefault="0059553D" w:rsidP="0059553D">
      <w:pPr>
        <w:jc w:val="both"/>
      </w:pPr>
      <w:r w:rsidRPr="008D7C2D">
        <w:t>Firmaların Yurt Dışı Kaynaklı Dövizlerinin Türk Lirasına</w:t>
      </w:r>
      <w:r>
        <w:t xml:space="preserve"> </w:t>
      </w:r>
      <w:r w:rsidRPr="008D7C2D">
        <w:t>Dönüşümünün Desteklenmesi Hakkında Tebliğ (Sayı: 2023/5)’</w:t>
      </w:r>
      <w:r>
        <w:t>d</w:t>
      </w:r>
      <w:r w:rsidRPr="008D7C2D">
        <w:t>e</w:t>
      </w:r>
      <w:r>
        <w:t xml:space="preserve"> </w:t>
      </w:r>
      <w:r w:rsidRPr="008D7C2D">
        <w:t>Değişiklik Yapılmasına Dair 2026/11</w:t>
      </w:r>
      <w:r>
        <w:t xml:space="preserve"> Sayılı </w:t>
      </w:r>
      <w:r w:rsidRPr="008D7C2D">
        <w:t>Tebliğ</w:t>
      </w:r>
      <w:r>
        <w:t>, 01 Ağustos 2026 tarihli ve 33327 sayılı Resmî Gazete’de yayımlanmıştır. Uygulanmakta olan sistem, 01 Ekim 2026 tarihinden geçerli olmak üzere önemli ölçüde değiştirilmiştir.</w:t>
      </w:r>
    </w:p>
    <w:p w14:paraId="115E5505" w14:textId="434AD7C8" w:rsidR="0059553D" w:rsidRDefault="0059553D" w:rsidP="0059553D">
      <w:pPr>
        <w:jc w:val="both"/>
      </w:pPr>
      <w:r>
        <w:t xml:space="preserve">Yeni düzenlemede de %2 (geçici 1. madde ile 31.01.2027 tarihinde kadar %3) döviz dönüşüm desteği devam etmekle birlikte, </w:t>
      </w:r>
      <w:r w:rsidRPr="001840E6">
        <w:t>belirlenecek süre boyunca döviz alımı yapmama taahhüdünde</w:t>
      </w:r>
      <w:r>
        <w:t xml:space="preserve"> bulunma şartı kaldırılmış; </w:t>
      </w:r>
      <w:r w:rsidRPr="00B50D19">
        <w:t>döviz pozisyonu oranlarının Merkez Bankası</w:t>
      </w:r>
      <w:r>
        <w:t>’</w:t>
      </w:r>
      <w:r w:rsidRPr="00B50D19">
        <w:t>nca belirlenen sınırı aşma</w:t>
      </w:r>
      <w:r>
        <w:t xml:space="preserve">ması gerektiği kriteri getirilmiştir. </w:t>
      </w:r>
      <w:r w:rsidRPr="00B50D19">
        <w:t>Merkez Bankası, firmaların döviz dönüşüm desteği kapsamında satabileceği döviz tutarlarına veya alabileceği destek tutarlarına üst limitler getirebilir</w:t>
      </w:r>
      <w:r>
        <w:t>, denilerek ayrıca bir potansiyel sınırlama mevcuttur.</w:t>
      </w:r>
    </w:p>
    <w:p w14:paraId="372B40B6" w14:textId="39F4EF35" w:rsidR="0059553D" w:rsidRDefault="00825DEB" w:rsidP="0059553D">
      <w:pPr>
        <w:jc w:val="both"/>
      </w:pPr>
      <w:r w:rsidRPr="00825DEB">
        <w:t xml:space="preserve">Bu değişiklikler kapsamında TCMB tarafından </w:t>
      </w:r>
      <w:r w:rsidR="00170885">
        <w:t>26</w:t>
      </w:r>
      <w:r w:rsidRPr="00825DEB">
        <w:t xml:space="preserve">.10.2026 tarihinde </w:t>
      </w:r>
      <w:r>
        <w:t>“</w:t>
      </w:r>
      <w:r w:rsidRPr="00825DEB">
        <w:t>Firmaların Yurt Dışı Kaynaklı Dövizlerinin Türk Lirasına Dönüşümünün Desteklenmesi Hakkında Tebliğe İlişkin Uygulama Talimatı</w:t>
      </w:r>
      <w:r>
        <w:t>”nda güncelleme yapmıştır.</w:t>
      </w:r>
      <w:r w:rsidRPr="00825DEB">
        <w:t xml:space="preserve"> </w:t>
      </w:r>
    </w:p>
    <w:p w14:paraId="46D2FE09" w14:textId="77777777" w:rsidR="00825DEB" w:rsidRPr="00825DEB" w:rsidRDefault="00825DEB" w:rsidP="00825DEB">
      <w:pPr>
        <w:jc w:val="both"/>
      </w:pPr>
      <w:r w:rsidRPr="00825DEB">
        <w:t>TCMB tarafından yayımlanan Firmaların Yurt Dışı Kaynaklı Dövizlerinin Türk Lirasına Dönüşümünün Desteklenmesi Hakkında Tebliğe İlişkin Uygulama Talimatında yer alan başlıca düzenlemeler ise şu şekildedir;</w:t>
      </w:r>
    </w:p>
    <w:p w14:paraId="2768876C" w14:textId="6D8EC893" w:rsidR="00825DEB" w:rsidRPr="00825DEB" w:rsidRDefault="00825DEB" w:rsidP="00825DEB">
      <w:pPr>
        <w:jc w:val="both"/>
      </w:pPr>
      <w:r w:rsidRPr="00825DEB">
        <w:t>- Döviz dönüşüm desteğinden yararlanabilmek için döviz pozisyonu oranının %10’u aş</w:t>
      </w:r>
      <w:r w:rsidR="00170885">
        <w:t>amayacaktır (Madde 5/4).</w:t>
      </w:r>
    </w:p>
    <w:p w14:paraId="70200024" w14:textId="338BF784" w:rsidR="00825DEB" w:rsidRPr="00170885" w:rsidRDefault="00825DEB" w:rsidP="00825DEB">
      <w:pPr>
        <w:jc w:val="both"/>
      </w:pPr>
      <w:r w:rsidRPr="00170885">
        <w:t>- Döviz pozisyonu oranı, hazır döviz varlıkları toplamının net satış hasılatı ile aktif toplamından büyük olana bölünmesi suretiyle hesaplanacaktır</w:t>
      </w:r>
      <w:r w:rsidR="00170885" w:rsidRPr="00170885">
        <w:t xml:space="preserve"> (Ek-C).</w:t>
      </w:r>
    </w:p>
    <w:p w14:paraId="16B250FA" w14:textId="54657BDB" w:rsidR="00825DEB" w:rsidRDefault="00825DEB" w:rsidP="00825DEB">
      <w:pPr>
        <w:jc w:val="both"/>
      </w:pPr>
      <w:r w:rsidRPr="00825DEB">
        <w:t xml:space="preserve">- Döviz Pozisyonu Bildirim Formu SMMM veya YMM tarafından hazırlanıp onaylanacak ve belge tarihinden itibaren </w:t>
      </w:r>
      <w:r w:rsidR="00170885">
        <w:t>3 ay</w:t>
      </w:r>
      <w:r w:rsidRPr="00825DEB">
        <w:t xml:space="preserve"> geçerli olacaktır</w:t>
      </w:r>
      <w:r w:rsidR="00170885">
        <w:t xml:space="preserve"> (Madde 5/9-c). Daha önceki düzenlemede süre 15 gündü.</w:t>
      </w:r>
    </w:p>
    <w:p w14:paraId="0679B873" w14:textId="0456D332" w:rsidR="006C6AA5" w:rsidRPr="00825DEB" w:rsidRDefault="006C6AA5" w:rsidP="00825DEB">
      <w:pPr>
        <w:jc w:val="both"/>
      </w:pPr>
      <w:r w:rsidRPr="006C6AA5">
        <w:t>Döviz Pozisyonu Bildirim Formu YMM/SMMM tarafından hazırlanarak imzalandıktan sonra firma yetkilileri tarafından formda yer alan bilgilerin doğruluğu teyit edilerek imzalanır ve aracı bankaya ibraz edilir</w:t>
      </w:r>
      <w:r>
        <w:t xml:space="preserve"> (Ek-C). </w:t>
      </w:r>
      <w:r w:rsidRPr="006C6AA5">
        <w:t>Aracı banka, SMMM veya YMM tarafından hazırlanmış ve SMMM veya YMM ile firma tarafından onaylanmış döviz pozisyonu bildirim formunu alır ve nezdinde saklar</w:t>
      </w:r>
      <w:r>
        <w:t xml:space="preserve"> (Madde 7).</w:t>
      </w:r>
    </w:p>
    <w:p w14:paraId="51D94FE0" w14:textId="42B63BA4" w:rsidR="00825DEB" w:rsidRPr="00825DEB" w:rsidRDefault="00825DEB" w:rsidP="00825DEB">
      <w:pPr>
        <w:jc w:val="both"/>
      </w:pPr>
      <w:r w:rsidRPr="00825DEB">
        <w:t>- Firmaların destek kapsamında TCMB’ye satabilecekleri döviz tutarı, firma kârlılığı ve 12 aylık işgücü maliyeti esas alınarak hesaplanacak olan firma satış limitiyle sınırlandırılmıştır</w:t>
      </w:r>
      <w:r w:rsidR="006C6AA5">
        <w:t xml:space="preserve"> (Madde 6/2 ve 6/5).</w:t>
      </w:r>
    </w:p>
    <w:p w14:paraId="18DA220A" w14:textId="779A1BC2" w:rsidR="00825DEB" w:rsidRPr="00825DEB" w:rsidRDefault="00825DEB" w:rsidP="00825DEB">
      <w:pPr>
        <w:jc w:val="both"/>
      </w:pPr>
      <w:r w:rsidRPr="00825DEB">
        <w:lastRenderedPageBreak/>
        <w:t>- Firmaların bir takvim yılı içinde yararlanabilecekleri azami döviz dönüşüm desteği 100 milyon TL olarak belirlenmiştir</w:t>
      </w:r>
      <w:r w:rsidR="00170885">
        <w:t xml:space="preserve"> (Madde 5/5).</w:t>
      </w:r>
    </w:p>
    <w:p w14:paraId="03588F10" w14:textId="1D4F98B5" w:rsidR="00825DEB" w:rsidRPr="00825DEB" w:rsidRDefault="00825DEB" w:rsidP="00825DEB">
      <w:pPr>
        <w:jc w:val="both"/>
      </w:pPr>
      <w:r w:rsidRPr="00825DEB">
        <w:t>- 1 Ekim</w:t>
      </w:r>
      <w:r w:rsidR="006C6AA5">
        <w:t xml:space="preserve"> 2026</w:t>
      </w:r>
      <w:r w:rsidRPr="00825DEB">
        <w:t>-31 Aralık 2026 dönemi için firma satış limiti ile azami döviz dönüşüm desteği tutarı 0,25 katsayısı ile çarpılarak uygulanacaktır</w:t>
      </w:r>
      <w:r w:rsidR="006C6AA5">
        <w:t xml:space="preserve"> </w:t>
      </w:r>
      <w:r w:rsidR="00AD4807">
        <w:t>(</w:t>
      </w:r>
      <w:r w:rsidR="006C6AA5">
        <w:t>Geçici Madde 4).</w:t>
      </w:r>
    </w:p>
    <w:p w14:paraId="7774F97A" w14:textId="292BCE68" w:rsidR="00825DEB" w:rsidRPr="00825DEB" w:rsidRDefault="00825DEB" w:rsidP="00825DEB">
      <w:pPr>
        <w:jc w:val="both"/>
      </w:pPr>
      <w:r w:rsidRPr="00825DEB">
        <w:t>- Gerçeğe aykırı beyan ve usulsüz kullanım halinde destek ve TCMB kaynaklı kredilere ilişkin kısıtlama süresi ilk tespitte 1 yıl, sonraki tespitlerde 3 yıl olarak belirlenmiştir</w:t>
      </w:r>
      <w:r w:rsidR="006C6AA5">
        <w:t xml:space="preserve"> (Madde 8).</w:t>
      </w:r>
    </w:p>
    <w:p w14:paraId="32532229" w14:textId="2886665E" w:rsidR="00825DEB" w:rsidRDefault="00185FC1" w:rsidP="0059553D">
      <w:pPr>
        <w:jc w:val="both"/>
      </w:pPr>
      <w:r w:rsidRPr="0059553D">
        <w:t>TCMB, Firmaların Yurt Dışı Kaynaklı Dövizlerinin Türk Lirasına Dönüşümünün Desteklenmesi Hakkında Tebliğe İlişkin Uygulama Talimatının revize edilmiş halin</w:t>
      </w:r>
      <w:r>
        <w:t>e aşağıdaki linkten ulaşmak mümkündür:</w:t>
      </w:r>
    </w:p>
    <w:p w14:paraId="645947CC" w14:textId="33CC63C5" w:rsidR="00185FC1" w:rsidRDefault="00185FC1" w:rsidP="0059553D">
      <w:pPr>
        <w:jc w:val="both"/>
      </w:pPr>
      <w:hyperlink r:id="rId7" w:history="1">
        <w:r w:rsidRPr="00536F84">
          <w:rPr>
            <w:rStyle w:val="Kpr"/>
          </w:rPr>
          <w:t>https://www.tcmb.gov.tr/wps/wcm/connect/TR/TCMB%20TR/Main%20Menu/Banka%20Hakkinda/Mevzuat/Operasyon%20Mevzuat/Talimatlar</w:t>
        </w:r>
      </w:hyperlink>
    </w:p>
    <w:p w14:paraId="21CB632D" w14:textId="77777777" w:rsidR="00185FC1" w:rsidRDefault="00185FC1" w:rsidP="0059553D">
      <w:pPr>
        <w:jc w:val="both"/>
      </w:pPr>
    </w:p>
    <w:p w14:paraId="10D4572A" w14:textId="1AAB414E" w:rsidR="008F5A86" w:rsidRPr="008F5A86" w:rsidRDefault="008F5A86" w:rsidP="008F5A86">
      <w:pPr>
        <w:jc w:val="both"/>
        <w:rPr>
          <w:b/>
          <w:bCs/>
          <w:sz w:val="26"/>
          <w:szCs w:val="26"/>
        </w:rPr>
      </w:pPr>
      <w:r w:rsidRPr="008F5A86">
        <w:rPr>
          <w:b/>
          <w:bCs/>
          <w:sz w:val="26"/>
          <w:szCs w:val="26"/>
        </w:rPr>
        <w:t>II- 7596 SAYILI TASFİYESİNE KARAR VERİLEN BAZI YATIRIM FONLARI HAKKINDA KANUN YAYIMLANDI</w:t>
      </w:r>
    </w:p>
    <w:p w14:paraId="399B655D" w14:textId="3EEE2BEC" w:rsidR="008F5A86" w:rsidRPr="008F5A86" w:rsidRDefault="008F5A86" w:rsidP="008F5A86">
      <w:pPr>
        <w:jc w:val="both"/>
      </w:pPr>
      <w:r w:rsidRPr="008F5A86">
        <w:t xml:space="preserve">7596 </w:t>
      </w:r>
      <w:r>
        <w:t>s</w:t>
      </w:r>
      <w:r w:rsidRPr="008F5A86">
        <w:t>ayılı Tasfiyesine Karar Verilen Bazı Yatırım Fonları Hakkında Kanun</w:t>
      </w:r>
      <w:r>
        <w:t>,</w:t>
      </w:r>
      <w:r w:rsidRPr="008F5A86">
        <w:t xml:space="preserve"> </w:t>
      </w:r>
      <w:r>
        <w:t>27 Ekim 2026 tarihli ve 33413 sayılı Resmî Gazete’de y</w:t>
      </w:r>
      <w:r w:rsidRPr="008F5A86">
        <w:t>ayımlandı</w:t>
      </w:r>
      <w:r>
        <w:t>.</w:t>
      </w:r>
    </w:p>
    <w:p w14:paraId="28058E5A" w14:textId="6F004D12" w:rsidR="008F5A86" w:rsidRDefault="008F5A86" w:rsidP="0059553D">
      <w:pPr>
        <w:jc w:val="both"/>
      </w:pPr>
      <w:r>
        <w:t>Söz konusu</w:t>
      </w:r>
      <w:r w:rsidRPr="008F5A86">
        <w:t xml:space="preserve"> Kanunun amacı; 6/12/2012 tarihli ve 6362 sayılı Sermaye Piyasası Kanunu</w:t>
      </w:r>
      <w:r>
        <w:t>’</w:t>
      </w:r>
      <w:r w:rsidRPr="008F5A86">
        <w:t>nun 128</w:t>
      </w:r>
      <w:r>
        <w:t>’</w:t>
      </w:r>
      <w:r w:rsidRPr="008F5A86">
        <w:t>inci maddesi uyarınca Sermaye Piyasası Kurulu</w:t>
      </w:r>
      <w:r>
        <w:t>’</w:t>
      </w:r>
      <w:r w:rsidRPr="008F5A86">
        <w:t>nun 17/9/2026 tarihli kararları ile tasfiyesine karar verilen yatırım fonlarından bu Kanunun yayımı tarihinde tasfiyesi tamamlanmamış olanların adil, şeffaf ve etkin şekilde tasfiyesine, bu fonların malvarlığından hukuka aykırı olarak çıkarılan değerlerin geri kazanılmasına, fon kayıp ve zararının sorumlulardan tahsiline ve geri kazanılan değerlerin fon pay sahibine ödenmesine ilişkin usul ve esasları düzenlemektir.</w:t>
      </w:r>
    </w:p>
    <w:p w14:paraId="12878170" w14:textId="2B186A1B" w:rsidR="008F5A86" w:rsidRDefault="008F5A86" w:rsidP="0059553D">
      <w:pPr>
        <w:jc w:val="both"/>
      </w:pPr>
      <w:r>
        <w:t>7596 sayılı</w:t>
      </w:r>
      <w:r w:rsidRPr="008F5A86">
        <w:t xml:space="preserve"> Kanun 17/9/2026 tarihinden geçerli olmak üzere yayımı tarihinde yürürlüğe gir</w:t>
      </w:r>
      <w:r>
        <w:t>miştir.</w:t>
      </w:r>
    </w:p>
    <w:p w14:paraId="60B4CB04" w14:textId="65ACB0C8" w:rsidR="008F5A86" w:rsidRDefault="008F5A86" w:rsidP="0059553D">
      <w:pPr>
        <w:jc w:val="both"/>
      </w:pPr>
      <w:r>
        <w:t xml:space="preserve">Anılan Kanunda, </w:t>
      </w:r>
      <w:r w:rsidRPr="00ED29BF">
        <w:t>“Tanımlar ve Kısaltmalar”, “Tasfiyenin Yürütülmesine İlişkin Genel Esaslar ve Fon Pay Sahipliğinin Belirlenmesi”, “Net Yatırım Tutarı, Ara Ödeme ve Nihai Ödeme”, “Fon Malvarlığından Mevzuata Aykırı Çıkarılan Değerler ve Şahsi Sorumluluk”, “Elkonulan ve Müsadere Edilen Malvarlığı Değerleri ve Geri Kazanım Hesabı”, “Dışarıdan Hizmet Alımı ve Uygulanacak Hükümler”</w:t>
      </w:r>
      <w:r w:rsidR="00ED29BF">
        <w:t xml:space="preserve"> ve “Yürürlük” başlıkları altında ayrıntılı açıklamalar yapılmıştır.</w:t>
      </w:r>
    </w:p>
    <w:p w14:paraId="7A2653DD" w14:textId="379D6B32" w:rsidR="00ED29BF" w:rsidRDefault="00ED29BF" w:rsidP="0059553D">
      <w:pPr>
        <w:jc w:val="both"/>
      </w:pPr>
      <w:r>
        <w:t>Kanunun en tartışmalı konularından birisi, 3. maddenin 5. fıkrasındaki düzenlemedir.</w:t>
      </w:r>
    </w:p>
    <w:p w14:paraId="34528D09" w14:textId="3DFA0C1C" w:rsidR="00ED29BF" w:rsidRDefault="00ED29BF" w:rsidP="0059553D">
      <w:pPr>
        <w:jc w:val="both"/>
      </w:pPr>
      <w:r>
        <w:t xml:space="preserve"> Buna göre;</w:t>
      </w:r>
    </w:p>
    <w:p w14:paraId="30FC63D7" w14:textId="1FE1CBC0" w:rsidR="00ED29BF" w:rsidRPr="00ED29BF" w:rsidRDefault="00ED29BF" w:rsidP="0059553D">
      <w:pPr>
        <w:jc w:val="both"/>
        <w:rPr>
          <w:i/>
          <w:iCs/>
        </w:rPr>
      </w:pPr>
      <w:r w:rsidRPr="00ED29BF">
        <w:rPr>
          <w:i/>
          <w:iCs/>
        </w:rPr>
        <w:t>“5) Fon pay sahipliği, tasfiye ile görevli kuruluşlar tarafından MKK kayıtları ile mutabakat sağlanmak suretiyle fon ve hesap bazında tespit edilir. Şu kadar ki, tasfiyeye konu fonlara ilişkin olarak 17/9/2026 tarihi ve öncesinde TEFAS’a iletilmiş olmakla birlikte, ilgili fonun temerrüdü ve/veya katılma payı fiyatının açıklanmaması nedenleriyle gerçekleştirilemeyen talimatlar bakımından, katılma payları bloke edilmiş olanlar, fon pay sahibi sıfatıyla bu Kanundaki tasfiye hükümlerine tabidir.”</w:t>
      </w:r>
    </w:p>
    <w:p w14:paraId="5485753D" w14:textId="6D11FF92" w:rsidR="00ED29BF" w:rsidRDefault="00ED29BF" w:rsidP="0059553D">
      <w:pPr>
        <w:jc w:val="both"/>
      </w:pPr>
      <w:r>
        <w:lastRenderedPageBreak/>
        <w:t xml:space="preserve">Bu düzenleme ile </w:t>
      </w:r>
      <w:r w:rsidRPr="00ED29BF">
        <w:t>17 Eylül 2026 ve öncesinde Türkiye Elektronik Fon Alım Satım Platformu (TEFAS) üzerinden satış emri vermiş, payları bloke edilmiş ancak fonun likidite krizi/temerrüdü nedeniyle parası ödenmemiş yatırımcılar</w:t>
      </w:r>
      <w:r>
        <w:t>,</w:t>
      </w:r>
      <w:r w:rsidRPr="00ED29BF">
        <w:t xml:space="preserve"> "satış alacaklısı" değil, "fon pay sahibi" olarak kabul e</w:t>
      </w:r>
      <w:r>
        <w:t>dil</w:t>
      </w:r>
      <w:r w:rsidRPr="00ED29BF">
        <w:t>mektedir.</w:t>
      </w:r>
    </w:p>
    <w:p w14:paraId="4E6CF439" w14:textId="3024E8E5" w:rsidR="00ED29BF" w:rsidRDefault="00ED29BF" w:rsidP="0059553D">
      <w:pPr>
        <w:jc w:val="both"/>
      </w:pPr>
      <w:r w:rsidRPr="00ED29BF">
        <w:t>Normal şartlarda Sermaye Piyasası Kanunu’nun 79. maddesinde korunan "takas kesinliği" ilkesi gereği, sisteme girilen ve onaylanan işlemler geri alınama</w:t>
      </w:r>
      <w:r>
        <w:t>makta</w:t>
      </w:r>
      <w:r w:rsidRPr="00ED29BF">
        <w:t xml:space="preserve"> ve bu kişilerin doğrudan nakit alacaklısı sayılması gere</w:t>
      </w:r>
      <w:r>
        <w:t xml:space="preserve">kmektedir. </w:t>
      </w:r>
      <w:r w:rsidRPr="00ED29BF">
        <w:t xml:space="preserve">Bu maddeyle satışını önceden yapmış olan yatırımcılar, hiç satış yapmamış olan diğer fon ortaklarıyla aynı </w:t>
      </w:r>
      <w:r>
        <w:t xml:space="preserve">statüye konulmuştur. </w:t>
      </w:r>
      <w:r w:rsidRPr="00ED29BF">
        <w:t>Satış talimatı hukuken tamamlanmış ve parası üzerinde alacak hakkı doğmuş kişilerin</w:t>
      </w:r>
      <w:r>
        <w:t>, 7596 sayılı Kanunda yapılan düzenlemeye “mülkiyet hakkı” yönünden tepkileri vardır.</w:t>
      </w:r>
    </w:p>
    <w:p w14:paraId="279A043E" w14:textId="42C066C5" w:rsidR="00D93C27" w:rsidRDefault="00D93C27" w:rsidP="00D93C27">
      <w:pPr>
        <w:jc w:val="both"/>
      </w:pPr>
      <w:r w:rsidRPr="008F5A86">
        <w:t xml:space="preserve">7596 </w:t>
      </w:r>
      <w:r>
        <w:t>s</w:t>
      </w:r>
      <w:r w:rsidRPr="008F5A86">
        <w:t>ayılı Tasfiyesine Karar Verilen Bazı Yatırım Fonları Hakkında Kanun</w:t>
      </w:r>
      <w:r>
        <w:t>’a</w:t>
      </w:r>
      <w:r w:rsidRPr="008F5A86">
        <w:t xml:space="preserve"> </w:t>
      </w:r>
      <w:r>
        <w:t xml:space="preserve">27 Ekim 2026 tarihli ve 33413 sayılı Resmî Gazete’den ulaşmak mümkündür. </w:t>
      </w:r>
    </w:p>
    <w:p w14:paraId="53211322" w14:textId="61286352" w:rsidR="00D93C27" w:rsidRDefault="00D93C27" w:rsidP="00D93C27">
      <w:pPr>
        <w:jc w:val="both"/>
      </w:pPr>
      <w:hyperlink r:id="rId8" w:history="1">
        <w:r w:rsidRPr="00AA5D68">
          <w:rPr>
            <w:rStyle w:val="Kpr"/>
          </w:rPr>
          <w:t>https://www.resmigazete.gov.tr/eskiler/2026/10/20261027-0.htm</w:t>
        </w:r>
      </w:hyperlink>
    </w:p>
    <w:p w14:paraId="48D0D385" w14:textId="77777777" w:rsidR="00D93C27" w:rsidRPr="008F5A86" w:rsidRDefault="00D93C27" w:rsidP="00D93C27">
      <w:pPr>
        <w:jc w:val="both"/>
      </w:pPr>
    </w:p>
    <w:p w14:paraId="01CB6115" w14:textId="420269F0" w:rsidR="007E1B75" w:rsidRPr="00D93C27" w:rsidRDefault="007E1B75" w:rsidP="00D93C27">
      <w:pPr>
        <w:jc w:val="right"/>
        <w:rPr>
          <w:b/>
          <w:bCs/>
        </w:rPr>
      </w:pPr>
    </w:p>
    <w:p w14:paraId="4E791343" w14:textId="77777777" w:rsidR="00ED29BF" w:rsidRPr="00ED29BF" w:rsidRDefault="00ED29BF" w:rsidP="0059553D">
      <w:pPr>
        <w:jc w:val="both"/>
      </w:pPr>
    </w:p>
    <w:sectPr w:rsidR="00ED29BF" w:rsidRPr="00ED29B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C9F5D" w14:textId="77777777" w:rsidR="005E2194" w:rsidRDefault="005E2194" w:rsidP="00D93C27">
      <w:pPr>
        <w:spacing w:after="0" w:line="240" w:lineRule="auto"/>
      </w:pPr>
      <w:r>
        <w:separator/>
      </w:r>
    </w:p>
  </w:endnote>
  <w:endnote w:type="continuationSeparator" w:id="0">
    <w:p w14:paraId="1DC91297" w14:textId="77777777" w:rsidR="005E2194" w:rsidRDefault="005E2194" w:rsidP="00D93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505B" w14:textId="77777777" w:rsidR="009B7F60" w:rsidRDefault="009B7F6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746270"/>
      <w:docPartObj>
        <w:docPartGallery w:val="Page Numbers (Bottom of Page)"/>
        <w:docPartUnique/>
      </w:docPartObj>
    </w:sdtPr>
    <w:sdtEndPr/>
    <w:sdtContent>
      <w:p w14:paraId="3D2C26A1" w14:textId="0FA9F77E" w:rsidR="00D93C27" w:rsidRDefault="00D93C27">
        <w:pPr>
          <w:pStyle w:val="AltBilgi"/>
          <w:jc w:val="right"/>
        </w:pPr>
        <w:r>
          <w:fldChar w:fldCharType="begin"/>
        </w:r>
        <w:r>
          <w:instrText>PAGE   \* MERGEFORMAT</w:instrText>
        </w:r>
        <w:r>
          <w:fldChar w:fldCharType="separate"/>
        </w:r>
        <w:r>
          <w:t>2</w:t>
        </w:r>
        <w:r>
          <w:fldChar w:fldCharType="end"/>
        </w:r>
      </w:p>
    </w:sdtContent>
  </w:sdt>
  <w:p w14:paraId="58882098" w14:textId="77777777" w:rsidR="00D93C27" w:rsidRDefault="00D93C2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CFAB6" w14:textId="77777777" w:rsidR="009B7F60" w:rsidRDefault="009B7F6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48EAF" w14:textId="77777777" w:rsidR="005E2194" w:rsidRDefault="005E2194" w:rsidP="00D93C27">
      <w:pPr>
        <w:spacing w:after="0" w:line="240" w:lineRule="auto"/>
      </w:pPr>
      <w:r>
        <w:separator/>
      </w:r>
    </w:p>
  </w:footnote>
  <w:footnote w:type="continuationSeparator" w:id="0">
    <w:p w14:paraId="00BBB3C1" w14:textId="77777777" w:rsidR="005E2194" w:rsidRDefault="005E2194" w:rsidP="00D93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5A671" w14:textId="77777777" w:rsidR="009B7F60" w:rsidRDefault="009B7F6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MON_1812315451"/>
  <w:bookmarkEnd w:id="0"/>
  <w:p w14:paraId="6FEAE076" w14:textId="4786B7C1" w:rsidR="009B7F60" w:rsidRDefault="009B7F60">
    <w:pPr>
      <w:pStyle w:val="stBilgi"/>
    </w:pPr>
    <w:r w:rsidRPr="00F22779">
      <w:rPr>
        <w:b/>
        <w:bCs/>
      </w:rPr>
      <w:object w:dxaOrig="9042" w:dyaOrig="1927" w14:anchorId="689F6F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pt;height:96.5pt">
          <v:imagedata r:id="rId1" o:title=""/>
        </v:shape>
        <o:OLEObject Type="Embed" ProgID="Word.Document.12" ShapeID="_x0000_i1025" DrawAspect="Content" ObjectID="_1854612656" r:id="rId2">
          <o:FieldCodes>\s</o:FieldCodes>
        </o:OLEObject>
      </w:obje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31B4" w14:textId="77777777" w:rsidR="009B7F60" w:rsidRDefault="009B7F6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75FC6"/>
    <w:multiLevelType w:val="multilevel"/>
    <w:tmpl w:val="19961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0880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53D"/>
    <w:rsid w:val="00170885"/>
    <w:rsid w:val="00185FC1"/>
    <w:rsid w:val="00187F1C"/>
    <w:rsid w:val="00476351"/>
    <w:rsid w:val="004D17C0"/>
    <w:rsid w:val="0059553D"/>
    <w:rsid w:val="005E2194"/>
    <w:rsid w:val="00683240"/>
    <w:rsid w:val="006955AC"/>
    <w:rsid w:val="006C6AA5"/>
    <w:rsid w:val="00793CE0"/>
    <w:rsid w:val="00794D3A"/>
    <w:rsid w:val="007E1B75"/>
    <w:rsid w:val="00825DEB"/>
    <w:rsid w:val="008F5A86"/>
    <w:rsid w:val="009B6807"/>
    <w:rsid w:val="009B7F60"/>
    <w:rsid w:val="00AD4807"/>
    <w:rsid w:val="00C23507"/>
    <w:rsid w:val="00D93C27"/>
    <w:rsid w:val="00E7677E"/>
    <w:rsid w:val="00ED29BF"/>
    <w:rsid w:val="00FE13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651C8"/>
  <w15:chartTrackingRefBased/>
  <w15:docId w15:val="{A83DA254-6EA0-4CA7-95AC-C45B57B77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53D"/>
  </w:style>
  <w:style w:type="paragraph" w:styleId="Balk1">
    <w:name w:val="heading 1"/>
    <w:basedOn w:val="Normal"/>
    <w:next w:val="Normal"/>
    <w:link w:val="Balk1Char"/>
    <w:uiPriority w:val="9"/>
    <w:qFormat/>
    <w:rsid w:val="005955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955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9553D"/>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9553D"/>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9553D"/>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9553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9553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9553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9553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9553D"/>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9553D"/>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9553D"/>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9553D"/>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9553D"/>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9553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9553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9553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9553D"/>
    <w:rPr>
      <w:rFonts w:eastAsiaTheme="majorEastAsia" w:cstheme="majorBidi"/>
      <w:color w:val="272727" w:themeColor="text1" w:themeTint="D8"/>
    </w:rPr>
  </w:style>
  <w:style w:type="paragraph" w:styleId="KonuBal">
    <w:name w:val="Title"/>
    <w:basedOn w:val="Normal"/>
    <w:next w:val="Normal"/>
    <w:link w:val="KonuBalChar"/>
    <w:uiPriority w:val="10"/>
    <w:qFormat/>
    <w:rsid w:val="005955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9553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9553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9553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9553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9553D"/>
    <w:rPr>
      <w:i/>
      <w:iCs/>
      <w:color w:val="404040" w:themeColor="text1" w:themeTint="BF"/>
    </w:rPr>
  </w:style>
  <w:style w:type="paragraph" w:styleId="ListeParagraf">
    <w:name w:val="List Paragraph"/>
    <w:basedOn w:val="Normal"/>
    <w:uiPriority w:val="34"/>
    <w:qFormat/>
    <w:rsid w:val="0059553D"/>
    <w:pPr>
      <w:ind w:left="720"/>
      <w:contextualSpacing/>
    </w:pPr>
  </w:style>
  <w:style w:type="character" w:styleId="GlVurgulama">
    <w:name w:val="Intense Emphasis"/>
    <w:basedOn w:val="VarsaylanParagrafYazTipi"/>
    <w:uiPriority w:val="21"/>
    <w:qFormat/>
    <w:rsid w:val="0059553D"/>
    <w:rPr>
      <w:i/>
      <w:iCs/>
      <w:color w:val="2F5496" w:themeColor="accent1" w:themeShade="BF"/>
    </w:rPr>
  </w:style>
  <w:style w:type="paragraph" w:styleId="GlAlnt">
    <w:name w:val="Intense Quote"/>
    <w:basedOn w:val="Normal"/>
    <w:next w:val="Normal"/>
    <w:link w:val="GlAlntChar"/>
    <w:uiPriority w:val="30"/>
    <w:qFormat/>
    <w:rsid w:val="005955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9553D"/>
    <w:rPr>
      <w:i/>
      <w:iCs/>
      <w:color w:val="2F5496" w:themeColor="accent1" w:themeShade="BF"/>
    </w:rPr>
  </w:style>
  <w:style w:type="character" w:styleId="GlBavuru">
    <w:name w:val="Intense Reference"/>
    <w:basedOn w:val="VarsaylanParagrafYazTipi"/>
    <w:uiPriority w:val="32"/>
    <w:qFormat/>
    <w:rsid w:val="0059553D"/>
    <w:rPr>
      <w:b/>
      <w:bCs/>
      <w:smallCaps/>
      <w:color w:val="2F5496" w:themeColor="accent1" w:themeShade="BF"/>
      <w:spacing w:val="5"/>
    </w:rPr>
  </w:style>
  <w:style w:type="character" w:styleId="Kpr">
    <w:name w:val="Hyperlink"/>
    <w:basedOn w:val="VarsaylanParagrafYazTipi"/>
    <w:uiPriority w:val="99"/>
    <w:unhideWhenUsed/>
    <w:rsid w:val="00185FC1"/>
    <w:rPr>
      <w:color w:val="0563C1" w:themeColor="hyperlink"/>
      <w:u w:val="single"/>
    </w:rPr>
  </w:style>
  <w:style w:type="character" w:styleId="zmlenmeyenBahsetme">
    <w:name w:val="Unresolved Mention"/>
    <w:basedOn w:val="VarsaylanParagrafYazTipi"/>
    <w:uiPriority w:val="99"/>
    <w:semiHidden/>
    <w:unhideWhenUsed/>
    <w:rsid w:val="00185FC1"/>
    <w:rPr>
      <w:color w:val="605E5C"/>
      <w:shd w:val="clear" w:color="auto" w:fill="E1DFDD"/>
    </w:rPr>
  </w:style>
  <w:style w:type="paragraph" w:styleId="stBilgi">
    <w:name w:val="header"/>
    <w:basedOn w:val="Normal"/>
    <w:link w:val="stBilgiChar"/>
    <w:uiPriority w:val="99"/>
    <w:unhideWhenUsed/>
    <w:rsid w:val="00D93C2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C27"/>
  </w:style>
  <w:style w:type="paragraph" w:styleId="AltBilgi">
    <w:name w:val="footer"/>
    <w:basedOn w:val="Normal"/>
    <w:link w:val="AltBilgiChar"/>
    <w:uiPriority w:val="99"/>
    <w:unhideWhenUsed/>
    <w:rsid w:val="00D93C2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migazete.gov.tr/eskiler/2026/10/20261027-0.ht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tcmb.gov.tr/wps/wcm/connect/TR/TCMB%20TR/Main%20Menu/Banka%20Hakkinda/Mevzuat/Operasyon%20Mevzuat/Talimatlar"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package" Target="embeddings/Microsoft_Word_Document.docx"/><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Pages>
  <Words>1003</Words>
  <Characters>5719</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Tuncay KAPUSUZOGLU</dc:creator>
  <cp:keywords/>
  <dc:description/>
  <cp:lastModifiedBy>Devrim Atatas</cp:lastModifiedBy>
  <cp:revision>12</cp:revision>
  <dcterms:created xsi:type="dcterms:W3CDTF">2026-10-26T12:52:00Z</dcterms:created>
  <dcterms:modified xsi:type="dcterms:W3CDTF">2026-10-27T10:25:00Z</dcterms:modified>
</cp:coreProperties>
</file>