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D3AD" w14:textId="6F8A392F" w:rsidR="00725AD6" w:rsidRPr="002C1D12" w:rsidRDefault="00FC4226" w:rsidP="00725AD6">
      <w:pPr>
        <w:spacing w:after="0" w:line="240" w:lineRule="auto"/>
        <w:jc w:val="center"/>
        <w:rPr>
          <w:b/>
          <w:bCs/>
          <w:sz w:val="36"/>
          <w:szCs w:val="36"/>
        </w:rPr>
      </w:pPr>
      <w:r>
        <w:rPr>
          <w:b/>
          <w:bCs/>
          <w:sz w:val="36"/>
          <w:szCs w:val="36"/>
        </w:rPr>
        <w:t>VERGİ MEVZUATINDAKİ GELİŞMELER</w:t>
      </w:r>
      <w:r w:rsidR="00725AD6" w:rsidRPr="002C1D12">
        <w:rPr>
          <w:b/>
          <w:bCs/>
          <w:sz w:val="36"/>
          <w:szCs w:val="36"/>
        </w:rPr>
        <w:t xml:space="preserve"> 2026/</w:t>
      </w:r>
      <w:r>
        <w:rPr>
          <w:b/>
          <w:bCs/>
          <w:sz w:val="36"/>
          <w:szCs w:val="36"/>
        </w:rPr>
        <w:t>EKİM-2</w:t>
      </w:r>
    </w:p>
    <w:p w14:paraId="417486A3" w14:textId="1380FF9D" w:rsidR="00725AD6" w:rsidRPr="002C1D12" w:rsidRDefault="00725AD6" w:rsidP="00725AD6">
      <w:pPr>
        <w:spacing w:after="0" w:line="240" w:lineRule="auto"/>
        <w:jc w:val="center"/>
        <w:rPr>
          <w:b/>
          <w:bCs/>
          <w:sz w:val="18"/>
          <w:szCs w:val="18"/>
        </w:rPr>
      </w:pPr>
      <w:r w:rsidRPr="002C1D12">
        <w:rPr>
          <w:b/>
          <w:bCs/>
          <w:sz w:val="18"/>
          <w:szCs w:val="18"/>
        </w:rPr>
        <w:t>(10.10.2026</w:t>
      </w:r>
      <w:r w:rsidR="0003295E" w:rsidRPr="002C1D12">
        <w:rPr>
          <w:b/>
          <w:bCs/>
          <w:sz w:val="18"/>
          <w:szCs w:val="18"/>
        </w:rPr>
        <w:t>-11.10.2026</w:t>
      </w:r>
      <w:r w:rsidRPr="002C1D12">
        <w:rPr>
          <w:b/>
          <w:bCs/>
          <w:sz w:val="18"/>
          <w:szCs w:val="18"/>
        </w:rPr>
        <w:t>)</w:t>
      </w:r>
    </w:p>
    <w:p w14:paraId="2E5DFF8C" w14:textId="77777777" w:rsidR="00725AD6" w:rsidRPr="00725AD6" w:rsidRDefault="00725AD6" w:rsidP="00725AD6"/>
    <w:p w14:paraId="64D09789" w14:textId="26B3C7AB" w:rsidR="00725AD6" w:rsidRDefault="00725AD6" w:rsidP="00725AD6">
      <w:pPr>
        <w:jc w:val="both"/>
        <w:rPr>
          <w:b/>
          <w:bCs/>
          <w:sz w:val="26"/>
          <w:szCs w:val="26"/>
        </w:rPr>
      </w:pPr>
      <w:r w:rsidRPr="00725AD6">
        <w:rPr>
          <w:b/>
          <w:bCs/>
          <w:sz w:val="26"/>
          <w:szCs w:val="26"/>
        </w:rPr>
        <w:t>I- 6102 SAYILI TÜRK TİCARET KANUNUNUN 376 NCI MADDESİNİN</w:t>
      </w:r>
      <w:r>
        <w:rPr>
          <w:b/>
          <w:bCs/>
          <w:sz w:val="26"/>
          <w:szCs w:val="26"/>
        </w:rPr>
        <w:t xml:space="preserve"> </w:t>
      </w:r>
      <w:r w:rsidRPr="00725AD6">
        <w:rPr>
          <w:b/>
          <w:bCs/>
          <w:sz w:val="26"/>
          <w:szCs w:val="26"/>
        </w:rPr>
        <w:t>UYGULANMASINA İLİŞKİN USUL VE ESASLAR HAKKINDA</w:t>
      </w:r>
      <w:r>
        <w:rPr>
          <w:b/>
          <w:bCs/>
          <w:sz w:val="26"/>
          <w:szCs w:val="26"/>
        </w:rPr>
        <w:t xml:space="preserve"> </w:t>
      </w:r>
      <w:r w:rsidRPr="00725AD6">
        <w:rPr>
          <w:b/>
          <w:bCs/>
          <w:sz w:val="26"/>
          <w:szCs w:val="26"/>
        </w:rPr>
        <w:t>TEBLİĞDE DEĞİŞİKLİK YAPILMASINA DAİR TEBLİĞ</w:t>
      </w:r>
      <w:r>
        <w:rPr>
          <w:b/>
          <w:bCs/>
          <w:sz w:val="26"/>
          <w:szCs w:val="26"/>
        </w:rPr>
        <w:t xml:space="preserve"> YAYIMLANMIŞTIR</w:t>
      </w:r>
    </w:p>
    <w:p w14:paraId="40BBAB00" w14:textId="2A222257" w:rsidR="00725AD6" w:rsidRPr="00725AD6" w:rsidRDefault="00725AD6" w:rsidP="00725AD6">
      <w:r w:rsidRPr="00725AD6">
        <w:t>Türk Ticaret Kanunu</w:t>
      </w:r>
      <w:r>
        <w:t>’</w:t>
      </w:r>
      <w:r w:rsidRPr="00725AD6">
        <w:t>nun 376</w:t>
      </w:r>
      <w:r>
        <w:t>’n</w:t>
      </w:r>
      <w:r w:rsidRPr="00725AD6">
        <w:t xml:space="preserve">cı Maddesinin Uygulanmasına İlişkin Usul </w:t>
      </w:r>
      <w:r w:rsidR="00EF45B4">
        <w:t>v</w:t>
      </w:r>
      <w:r w:rsidRPr="00725AD6">
        <w:t>e Esaslar Hakkında Tebliğde Değişiklik Yapılmasına Dair Tebliğ</w:t>
      </w:r>
      <w:r>
        <w:t>,</w:t>
      </w:r>
      <w:r>
        <w:rPr>
          <w:b/>
          <w:bCs/>
          <w:sz w:val="26"/>
          <w:szCs w:val="26"/>
        </w:rPr>
        <w:t xml:space="preserve"> </w:t>
      </w:r>
      <w:r w:rsidRPr="00725AD6">
        <w:t xml:space="preserve">10.10.2026 tarihli ve 33396 sayılı Resmî </w:t>
      </w:r>
      <w:proofErr w:type="spellStart"/>
      <w:r w:rsidRPr="00725AD6">
        <w:t>Gazete’de</w:t>
      </w:r>
      <w:proofErr w:type="spellEnd"/>
      <w:r w:rsidRPr="00725AD6">
        <w:t xml:space="preserve"> yayımlanmıştır.</w:t>
      </w:r>
    </w:p>
    <w:p w14:paraId="2AB759A1" w14:textId="556522CD" w:rsidR="00C23507" w:rsidRDefault="00E752F4" w:rsidP="000B4E2B">
      <w:pPr>
        <w:jc w:val="both"/>
      </w:pPr>
      <w:r>
        <w:t xml:space="preserve">Söz konusu değişiklik Tebliği ile </w:t>
      </w:r>
      <w:r w:rsidRPr="00E752F4">
        <w:t xml:space="preserve">15/9/2018 tarihli ve 30536 sayılı Resmî </w:t>
      </w:r>
      <w:proofErr w:type="spellStart"/>
      <w:r w:rsidRPr="00E752F4">
        <w:t>Gazete’de</w:t>
      </w:r>
      <w:proofErr w:type="spellEnd"/>
      <w:r w:rsidRPr="00E752F4">
        <w:t xml:space="preserve"> yayımlanan 6102 Sayılı Türk Ticaret Kanunu</w:t>
      </w:r>
      <w:r>
        <w:t>’</w:t>
      </w:r>
      <w:r w:rsidRPr="00E752F4">
        <w:t>nun 376</w:t>
      </w:r>
      <w:r>
        <w:t>’</w:t>
      </w:r>
      <w:r w:rsidRPr="00E752F4">
        <w:t>ncı Maddesinin Uygulanmasına İlişkin Usul ve Esaslar Hakkında Tebliğin geçici 1</w:t>
      </w:r>
      <w:r>
        <w:t>’</w:t>
      </w:r>
      <w:r w:rsidRPr="00E752F4">
        <w:t>inci maddesinde yer alan “1/1/2027” ibaresi “1/1/2028” şeklinde değiştirilmiştir.</w:t>
      </w:r>
    </w:p>
    <w:p w14:paraId="06E6A18E" w14:textId="4ABEB5EE" w:rsidR="00E752F4" w:rsidRDefault="00E752F4" w:rsidP="000B4E2B">
      <w:pPr>
        <w:jc w:val="both"/>
      </w:pPr>
      <w:r>
        <w:t>Söz konusu Geçici 1. maddenin son hali aşağıdaki gibidir:</w:t>
      </w:r>
    </w:p>
    <w:p w14:paraId="7F288292" w14:textId="0F10D827" w:rsidR="00E752F4" w:rsidRDefault="00E752F4" w:rsidP="00E752F4">
      <w:pPr>
        <w:shd w:val="clear" w:color="auto" w:fill="F2F2F2" w:themeFill="background1" w:themeFillShade="F2"/>
        <w:jc w:val="both"/>
        <w:rPr>
          <w:i/>
          <w:iCs/>
          <w:sz w:val="20"/>
          <w:szCs w:val="20"/>
        </w:rPr>
      </w:pPr>
      <w:r w:rsidRPr="00E752F4">
        <w:rPr>
          <w:i/>
          <w:iCs/>
          <w:sz w:val="20"/>
          <w:szCs w:val="20"/>
        </w:rPr>
        <w:t>“</w:t>
      </w:r>
      <w:r w:rsidRPr="00E752F4">
        <w:rPr>
          <w:b/>
          <w:bCs/>
          <w:i/>
          <w:iCs/>
          <w:sz w:val="20"/>
          <w:szCs w:val="20"/>
        </w:rPr>
        <w:t>GEÇİCİ MADDE 1 –</w:t>
      </w:r>
      <w:r w:rsidRPr="00E752F4">
        <w:rPr>
          <w:i/>
          <w:iCs/>
          <w:sz w:val="20"/>
          <w:szCs w:val="20"/>
        </w:rPr>
        <w:t xml:space="preserve"> (1) </w:t>
      </w:r>
      <w:r w:rsidRPr="00E752F4">
        <w:rPr>
          <w:b/>
          <w:bCs/>
          <w:i/>
          <w:iCs/>
          <w:sz w:val="20"/>
          <w:szCs w:val="20"/>
        </w:rPr>
        <w:t>1/1/2028</w:t>
      </w:r>
      <w:r w:rsidRPr="00E752F4">
        <w:rPr>
          <w:i/>
          <w:iCs/>
          <w:sz w:val="20"/>
          <w:szCs w:val="20"/>
        </w:rPr>
        <w:t xml:space="preserve"> tarihine kadar, Kanunun 376’ncı maddesi kapsamında sermaye kaybı veya borca batık olma durumuna ilişkin yapılan hesaplamalarda, henüz ifa edilmemiş yabancı para cinsi yükümlülüklerden doğan kur farkı zararlarının tamamı ile 2020 ve 2021 yıllarında tahakkuk eden kiralamalardan kaynaklanan giderler, amortismanlar ve personel giderlerinin toplamının yarısı dikkate alınmayabilir. Bu tutarların belirlenmesinde mükerrerlik oluşmayacak şekilde hesaplama yapılır. Bu fıkra kapsamında yapılacak hesaplamalara ilişkin olarak 13’üncü madde uyarınca hazırlanan finansal tablolarda herhangi bir kayda yer verilmeyerek, bu durum bilgi mahiyetinde dipnotlarda gösterilir.”</w:t>
      </w:r>
    </w:p>
    <w:p w14:paraId="25767C01" w14:textId="77777777" w:rsidR="0003295E" w:rsidRDefault="0003295E" w:rsidP="0003295E">
      <w:pPr>
        <w:rPr>
          <w:i/>
          <w:iCs/>
          <w:sz w:val="20"/>
          <w:szCs w:val="20"/>
        </w:rPr>
      </w:pPr>
    </w:p>
    <w:p w14:paraId="0A96AB27" w14:textId="4EB3206D" w:rsidR="0003295E" w:rsidRPr="0003295E" w:rsidRDefault="0003295E" w:rsidP="0003295E">
      <w:pPr>
        <w:rPr>
          <w:b/>
          <w:bCs/>
          <w:sz w:val="26"/>
          <w:szCs w:val="26"/>
        </w:rPr>
      </w:pPr>
      <w:r w:rsidRPr="0003295E">
        <w:rPr>
          <w:b/>
          <w:bCs/>
          <w:sz w:val="26"/>
          <w:szCs w:val="26"/>
        </w:rPr>
        <w:t>II- 596 SIRA NO’LU VERGİ USUL KANUNU GENEL TEBLİĞİ YAYIMLANMIŞTIR</w:t>
      </w:r>
    </w:p>
    <w:p w14:paraId="5130A672" w14:textId="1DA47D39" w:rsidR="0003295E" w:rsidRDefault="0003295E" w:rsidP="0003295E">
      <w:pPr>
        <w:jc w:val="both"/>
      </w:pPr>
      <w:r w:rsidRPr="0003295E">
        <w:t xml:space="preserve">596 sıra </w:t>
      </w:r>
      <w:proofErr w:type="spellStart"/>
      <w:r w:rsidRPr="0003295E">
        <w:t>No’lu</w:t>
      </w:r>
      <w:proofErr w:type="spellEnd"/>
      <w:r w:rsidRPr="0003295E">
        <w:t xml:space="preserve"> V</w:t>
      </w:r>
      <w:r>
        <w:t xml:space="preserve">ergi </w:t>
      </w:r>
      <w:r w:rsidRPr="0003295E">
        <w:t>U</w:t>
      </w:r>
      <w:r>
        <w:t xml:space="preserve">sul </w:t>
      </w:r>
      <w:r w:rsidRPr="0003295E">
        <w:t>K</w:t>
      </w:r>
      <w:r>
        <w:t>anunu</w:t>
      </w:r>
      <w:r w:rsidRPr="0003295E">
        <w:t xml:space="preserve"> Genel Tebliği, 11.10.2026 tarihli ve 33397 sayılı Resmî </w:t>
      </w:r>
      <w:proofErr w:type="spellStart"/>
      <w:r w:rsidRPr="0003295E">
        <w:t>Gazete’de</w:t>
      </w:r>
      <w:proofErr w:type="spellEnd"/>
      <w:r w:rsidRPr="0003295E">
        <w:t xml:space="preserve"> yayım</w:t>
      </w:r>
      <w:r>
        <w:t>l</w:t>
      </w:r>
      <w:r w:rsidRPr="0003295E">
        <w:t>anmıştır.</w:t>
      </w:r>
    </w:p>
    <w:p w14:paraId="0500F60F" w14:textId="6FFB90CC" w:rsidR="0003295E" w:rsidRPr="0003295E" w:rsidRDefault="0003295E" w:rsidP="0003295E">
      <w:pPr>
        <w:jc w:val="both"/>
      </w:pPr>
      <w:r>
        <w:t>Söz konusu T</w:t>
      </w:r>
      <w:r w:rsidRPr="0003295E">
        <w:t>ebliğin amacı ve kapsamı; 24/6/2026 tarihli ve 7587 sayılı Bazı Kanunlarda Değişiklik Yapılmasına Dair Kanunun 9</w:t>
      </w:r>
      <w:r>
        <w:t>’</w:t>
      </w:r>
      <w:r w:rsidRPr="0003295E">
        <w:t>uncu maddesi ile değiştirilen 4/1/1961 tarihli ve 213 sayılı Vergi Usul Kanunu</w:t>
      </w:r>
      <w:r>
        <w:t>’</w:t>
      </w:r>
      <w:r w:rsidRPr="0003295E">
        <w:t xml:space="preserve">nun </w:t>
      </w:r>
      <w:r>
        <w:t xml:space="preserve">“Elektronik Ortamda Tebliğ” başlıklı </w:t>
      </w:r>
      <w:r w:rsidRPr="0003295E">
        <w:t>107/A maddesinin uygulanmasına ilişkin usul ve esasların belirlenmesidir.</w:t>
      </w:r>
    </w:p>
    <w:p w14:paraId="6EE26936" w14:textId="26F42E99" w:rsidR="0003295E" w:rsidRPr="0003295E" w:rsidRDefault="0003295E" w:rsidP="0003295E">
      <w:pPr>
        <w:jc w:val="both"/>
      </w:pPr>
      <w:r w:rsidRPr="0003295E">
        <w:t>Vergi Usul Kanunu’nun (VUK) 107/A maddesindeki elektronik tebligat düzenlemesi ilk kez 2010 yılında kanuna eklenmiş, daha sonra 2015 yılında genişletilmiş ve son olarak Anayasa Mahkemesi</w:t>
      </w:r>
      <w:r>
        <w:t>’</w:t>
      </w:r>
      <w:r w:rsidRPr="0003295E">
        <w:t xml:space="preserve">nin kararı sonrasında 24 Haziran 2026 tarihli ve 7587 sayılı Kanun ile yeniden düzenlenerek </w:t>
      </w:r>
      <w:r w:rsidR="0062431D">
        <w:t>0</w:t>
      </w:r>
      <w:r w:rsidRPr="0003295E">
        <w:t>1 Temmuz 2026 tarihinde yürürlüğe girmiştir.</w:t>
      </w:r>
    </w:p>
    <w:p w14:paraId="43138790" w14:textId="1B66CCAE" w:rsidR="0003295E" w:rsidRDefault="0003295E" w:rsidP="0062431D">
      <w:pPr>
        <w:jc w:val="both"/>
      </w:pPr>
      <w:r w:rsidRPr="0003295E">
        <w:t xml:space="preserve">Anayasa Mahkemesi 15 Ocak 2026 tarih ve E:2025/94 K:2026/11 sayılı </w:t>
      </w:r>
      <w:r>
        <w:t>K</w:t>
      </w:r>
      <w:r w:rsidRPr="0003295E">
        <w:t xml:space="preserve">ararı </w:t>
      </w:r>
      <w:r>
        <w:t>ile</w:t>
      </w:r>
      <w:r w:rsidRPr="0003295E">
        <w:t xml:space="preserve"> Vergi Usul Kanunu’nun 107/A maddesinin 3. fıkrasında yer alan ve Hazine ve Maliye Bakanlığı’na sınırsız düzenleme yetkisi veren kanun hükmünü Anayasa'ya aykırı bularak iptal etmiştir</w:t>
      </w:r>
      <w:r>
        <w:t xml:space="preserve">. Söz konusu Karar 03.04.2026 tarihli ve 33213 sayılı Resmî </w:t>
      </w:r>
      <w:proofErr w:type="spellStart"/>
      <w:r>
        <w:t>Gazete’de</w:t>
      </w:r>
      <w:proofErr w:type="spellEnd"/>
      <w:r>
        <w:t xml:space="preserve"> yayımlanmıştır.</w:t>
      </w:r>
      <w:r w:rsidR="00322222">
        <w:t xml:space="preserve"> </w:t>
      </w:r>
    </w:p>
    <w:p w14:paraId="63ED7025" w14:textId="3ED2DB53" w:rsidR="0062431D" w:rsidRDefault="0062431D" w:rsidP="0062431D">
      <w:pPr>
        <w:jc w:val="both"/>
      </w:pPr>
      <w:r w:rsidRPr="00C97CB5">
        <w:lastRenderedPageBreak/>
        <w:t xml:space="preserve">596 sıra </w:t>
      </w:r>
      <w:proofErr w:type="spellStart"/>
      <w:r w:rsidRPr="00C97CB5">
        <w:t>No’lu</w:t>
      </w:r>
      <w:proofErr w:type="spellEnd"/>
      <w:r w:rsidRPr="00C97CB5">
        <w:t xml:space="preserve"> VUK Genel Tebliği</w:t>
      </w:r>
      <w:r w:rsidR="00C97CB5" w:rsidRPr="00C97CB5">
        <w:t>’nde “Başlangıç Hükümleri”, “Elektronik Tebligat Sistemi”, “Elektronik Tebligat Yapılması ve Elektronik Tebligat Sisteminden Çıkış”, “Çeşitli ve Son Hükümler” başlıklı bölümler altında yeni düzenlemenin uygulama ayrıntıları açıklanmıştır.</w:t>
      </w:r>
    </w:p>
    <w:p w14:paraId="6B091146" w14:textId="3EAB6E9D" w:rsidR="002C1D12" w:rsidRDefault="002C1D12" w:rsidP="0062431D">
      <w:pPr>
        <w:jc w:val="both"/>
      </w:pPr>
      <w:r>
        <w:t xml:space="preserve">Tebliğin 7/1-a maddesi uyarınca, </w:t>
      </w:r>
    </w:p>
    <w:p w14:paraId="75819387" w14:textId="34D022CE" w:rsidR="002C1D12" w:rsidRPr="002C1D12" w:rsidRDefault="002C1D12" w:rsidP="002C1D12">
      <w:pPr>
        <w:shd w:val="clear" w:color="auto" w:fill="F2F2F2" w:themeFill="background1" w:themeFillShade="F2"/>
        <w:jc w:val="both"/>
        <w:rPr>
          <w:i/>
          <w:iCs/>
          <w:sz w:val="20"/>
          <w:szCs w:val="20"/>
        </w:rPr>
      </w:pPr>
      <w:r w:rsidRPr="002C1D12">
        <w:rPr>
          <w:i/>
          <w:iCs/>
          <w:sz w:val="20"/>
          <w:szCs w:val="20"/>
        </w:rPr>
        <w:t xml:space="preserve">“Bu Tebliğin yayımı tarihinden önce elektronik tebligat sistemine dâhil olmayan ve elektronik tebligat sistemi kullanmak zorunda olan; kurumlar vergisi mükellefleri, ticari, zirai ve mesleki kazançları dolayısıyla gerçek usulde vergilendirilen gelir vergisi mükellefleri ve kollektif şirketler ile adi komandit şirketler </w:t>
      </w:r>
      <w:r w:rsidRPr="002C1D12">
        <w:rPr>
          <w:b/>
          <w:bCs/>
          <w:i/>
          <w:iCs/>
          <w:sz w:val="20"/>
          <w:szCs w:val="20"/>
        </w:rPr>
        <w:t>tebliğin yayımını izleyen ayın sonuna kadar</w:t>
      </w:r>
      <w:r w:rsidRPr="002C1D12">
        <w:rPr>
          <w:i/>
          <w:iCs/>
          <w:sz w:val="20"/>
          <w:szCs w:val="20"/>
        </w:rPr>
        <w:t xml:space="preserve"> elektronik tebligat sistemine dâhil olmak zorundadır.”</w:t>
      </w:r>
    </w:p>
    <w:p w14:paraId="5465EE6F" w14:textId="2DF63935" w:rsidR="002C1D12" w:rsidRDefault="002C1D12" w:rsidP="0062431D">
      <w:pPr>
        <w:jc w:val="both"/>
      </w:pPr>
      <w:r>
        <w:t xml:space="preserve">Elektronik tebligat sistemini kullanmaları zorunlu olduğu halde, sisteme dahil olmayanlar yukarıda da belirtildiği üzere tebliğin yayımını izleyen ayın son gününe yani </w:t>
      </w:r>
      <w:r w:rsidRPr="002C1D12">
        <w:rPr>
          <w:b/>
          <w:bCs/>
        </w:rPr>
        <w:t xml:space="preserve">30 Kasım 2026 tarihine kadar </w:t>
      </w:r>
      <w:r>
        <w:t>elektronik tebligat sistemine dahil olmak zorundadır.</w:t>
      </w:r>
    </w:p>
    <w:p w14:paraId="6D6167CD" w14:textId="50785A41" w:rsidR="002C1D12" w:rsidRDefault="002C1D12" w:rsidP="0062431D">
      <w:pPr>
        <w:jc w:val="both"/>
      </w:pPr>
      <w:r>
        <w:t>Elektronik tebligat sistemini kullanmaları zorunlu olanlar söz konusu Tebliğin 5. maddesinde belirtilmiştir. Buna göre;</w:t>
      </w:r>
    </w:p>
    <w:p w14:paraId="69BBCD2A" w14:textId="77777777" w:rsidR="002C1D12" w:rsidRPr="002C1D12" w:rsidRDefault="002C1D12" w:rsidP="002C1D12">
      <w:pPr>
        <w:shd w:val="clear" w:color="auto" w:fill="F2F2F2" w:themeFill="background1" w:themeFillShade="F2"/>
        <w:jc w:val="both"/>
        <w:rPr>
          <w:i/>
          <w:iCs/>
          <w:sz w:val="20"/>
          <w:szCs w:val="20"/>
        </w:rPr>
      </w:pPr>
      <w:r w:rsidRPr="002C1D12">
        <w:rPr>
          <w:i/>
          <w:iCs/>
          <w:sz w:val="20"/>
          <w:szCs w:val="20"/>
        </w:rPr>
        <w:t>“</w:t>
      </w:r>
      <w:r w:rsidRPr="002C1D12">
        <w:rPr>
          <w:b/>
          <w:bCs/>
          <w:i/>
          <w:iCs/>
          <w:sz w:val="20"/>
          <w:szCs w:val="20"/>
        </w:rPr>
        <w:t>MADDE 5-</w:t>
      </w:r>
      <w:r w:rsidRPr="002C1D12">
        <w:rPr>
          <w:i/>
          <w:iCs/>
          <w:sz w:val="20"/>
          <w:szCs w:val="20"/>
        </w:rPr>
        <w:t xml:space="preserve"> (1) Kurumlar vergisi mükellefleri, ticari, zirai ve mesleki kazançları dolayısıyla gerçek usulde vergilendirilen gelir vergisi mükellefleri, kollektif şirketler ile adi komandit şirketler ve 6/6/2002 tarihli ve 4760 sayılı Özel Tüketim Vergisi Kanununa ekli (II) sayılı listedeki mallardan kayıt ve tescile tabi olanların ilk iktisabında adına tescil yapılan gerçek kişiler ve tüzel kişiler ile tüzel kişiliği olmayan teşekküller bu Tebliğde belirlenen sürelerde bildirimde bulunarak elektronik tebligat sistemine dâhil olmak ve bu sistemi kullanmak zorundadır.</w:t>
      </w:r>
    </w:p>
    <w:p w14:paraId="64BAAE48" w14:textId="0169151C" w:rsidR="002C1D12" w:rsidRPr="002C1D12" w:rsidRDefault="002C1D12" w:rsidP="002C1D12">
      <w:pPr>
        <w:shd w:val="clear" w:color="auto" w:fill="F2F2F2" w:themeFill="background1" w:themeFillShade="F2"/>
        <w:jc w:val="both"/>
        <w:rPr>
          <w:i/>
          <w:iCs/>
          <w:sz w:val="20"/>
          <w:szCs w:val="20"/>
        </w:rPr>
      </w:pPr>
      <w:r w:rsidRPr="002C1D12">
        <w:rPr>
          <w:i/>
          <w:iCs/>
          <w:sz w:val="20"/>
          <w:szCs w:val="20"/>
        </w:rPr>
        <w:t>(2) Birinci fıkrada belirtilen mükelleflerin dışında isteğe bağlı olarak kendilerine elektronik tebligat yapılmasını talep eden kişiler de elektronik tebligat sisteminden yararlanabilir.”</w:t>
      </w:r>
    </w:p>
    <w:p w14:paraId="306F9567" w14:textId="691898E4" w:rsidR="002C1D12" w:rsidRDefault="002C1D12" w:rsidP="0062431D">
      <w:pPr>
        <w:jc w:val="both"/>
      </w:pPr>
      <w:r>
        <w:t xml:space="preserve">596 sıra </w:t>
      </w:r>
      <w:proofErr w:type="spellStart"/>
      <w:r>
        <w:t>No’lu</w:t>
      </w:r>
      <w:proofErr w:type="spellEnd"/>
      <w:r>
        <w:t xml:space="preserve"> VUK Genel Tebliği ile </w:t>
      </w:r>
      <w:r w:rsidRPr="002C1D12">
        <w:t xml:space="preserve">27/8/2015 tarihli ve 29458 sayılı Resmî </w:t>
      </w:r>
      <w:proofErr w:type="spellStart"/>
      <w:r w:rsidRPr="002C1D12">
        <w:t>Gazete'de</w:t>
      </w:r>
      <w:proofErr w:type="spellEnd"/>
      <w:r w:rsidRPr="002C1D12">
        <w:t xml:space="preserve"> yayımlanan Vergi Usul Kanunu Genel Tebliği (Sıra No: 456) yürürlükten kaldırılmıştır.</w:t>
      </w:r>
    </w:p>
    <w:p w14:paraId="741CC731" w14:textId="688AD08D" w:rsidR="0062431D" w:rsidRDefault="00C97CB5" w:rsidP="0062431D">
      <w:pPr>
        <w:jc w:val="both"/>
      </w:pPr>
      <w:r>
        <w:t>Yayımı tarihinde yürürlüğe giren s</w:t>
      </w:r>
      <w:r w:rsidR="0062431D">
        <w:t xml:space="preserve">öz konusu Tebliğe </w:t>
      </w:r>
      <w:r w:rsidR="0062431D" w:rsidRPr="0003295E">
        <w:t xml:space="preserve">11.10.2026 tarihli ve 33397 sayılı Resmî </w:t>
      </w:r>
      <w:proofErr w:type="spellStart"/>
      <w:r w:rsidR="0062431D" w:rsidRPr="0003295E">
        <w:t>Gazete’de</w:t>
      </w:r>
      <w:r w:rsidR="0062431D">
        <w:t>n</w:t>
      </w:r>
      <w:proofErr w:type="spellEnd"/>
      <w:r w:rsidR="0062431D">
        <w:t xml:space="preserve"> ulaşmak mümkündür.</w:t>
      </w:r>
    </w:p>
    <w:p w14:paraId="5E9C0362" w14:textId="11B0E237" w:rsidR="0062431D" w:rsidRDefault="0062431D" w:rsidP="0062431D">
      <w:pPr>
        <w:jc w:val="both"/>
      </w:pPr>
      <w:hyperlink r:id="rId6" w:history="1">
        <w:r w:rsidRPr="00BA1DDF">
          <w:rPr>
            <w:rStyle w:val="Kpr"/>
          </w:rPr>
          <w:t>https://www.resmigazete.gov.tr/eskiler/2026/10/20261011-4.htm</w:t>
        </w:r>
      </w:hyperlink>
    </w:p>
    <w:p w14:paraId="178D759A" w14:textId="0F1392C5" w:rsidR="009C55E3" w:rsidRPr="009C55E3" w:rsidRDefault="009C55E3" w:rsidP="009C55E3">
      <w:pPr>
        <w:jc w:val="right"/>
        <w:rPr>
          <w:b/>
          <w:bCs/>
        </w:rPr>
      </w:pPr>
    </w:p>
    <w:sectPr w:rsidR="009C55E3" w:rsidRPr="009C55E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0DA7D" w14:textId="77777777" w:rsidR="00646CC7" w:rsidRDefault="00646CC7" w:rsidP="00B35E6F">
      <w:pPr>
        <w:spacing w:after="0" w:line="240" w:lineRule="auto"/>
      </w:pPr>
      <w:r>
        <w:separator/>
      </w:r>
    </w:p>
  </w:endnote>
  <w:endnote w:type="continuationSeparator" w:id="0">
    <w:p w14:paraId="632F25C9" w14:textId="77777777" w:rsidR="00646CC7" w:rsidRDefault="00646CC7" w:rsidP="00B3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007909"/>
      <w:docPartObj>
        <w:docPartGallery w:val="Page Numbers (Bottom of Page)"/>
        <w:docPartUnique/>
      </w:docPartObj>
    </w:sdtPr>
    <w:sdtEndPr/>
    <w:sdtContent>
      <w:p w14:paraId="50D89819" w14:textId="33CC1FDA" w:rsidR="00B35E6F" w:rsidRDefault="00B35E6F">
        <w:pPr>
          <w:pStyle w:val="AltBilgi"/>
          <w:jc w:val="right"/>
        </w:pPr>
        <w:r>
          <w:fldChar w:fldCharType="begin"/>
        </w:r>
        <w:r>
          <w:instrText>PAGE   \* MERGEFORMAT</w:instrText>
        </w:r>
        <w:r>
          <w:fldChar w:fldCharType="separate"/>
        </w:r>
        <w:r>
          <w:t>2</w:t>
        </w:r>
        <w:r>
          <w:fldChar w:fldCharType="end"/>
        </w:r>
      </w:p>
    </w:sdtContent>
  </w:sdt>
  <w:p w14:paraId="20191D63" w14:textId="77777777" w:rsidR="00B35E6F" w:rsidRDefault="00B35E6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788D0" w14:textId="77777777" w:rsidR="00646CC7" w:rsidRDefault="00646CC7" w:rsidP="00B35E6F">
      <w:pPr>
        <w:spacing w:after="0" w:line="240" w:lineRule="auto"/>
      </w:pPr>
      <w:r>
        <w:separator/>
      </w:r>
    </w:p>
  </w:footnote>
  <w:footnote w:type="continuationSeparator" w:id="0">
    <w:p w14:paraId="73635780" w14:textId="77777777" w:rsidR="00646CC7" w:rsidRDefault="00646CC7" w:rsidP="00B35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812315451"/>
  <w:bookmarkEnd w:id="0"/>
  <w:p w14:paraId="7C8A3632" w14:textId="20399059" w:rsidR="00A11F1C" w:rsidRDefault="00A11F1C">
    <w:pPr>
      <w:pStyle w:val="stBilgi"/>
    </w:pPr>
    <w:r w:rsidRPr="00F22779">
      <w:rPr>
        <w:b/>
        <w:bCs/>
      </w:rPr>
      <w:object w:dxaOrig="9042" w:dyaOrig="1927" w14:anchorId="47443F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55pt;height:97.7pt">
          <v:imagedata r:id="rId1" o:title=""/>
        </v:shape>
        <o:OLEObject Type="Embed" ProgID="Word.Document.12" ShapeID="_x0000_i1025" DrawAspect="Content" ObjectID="_1853306478" r:id="rId2">
          <o:FieldCodes>\s</o:FieldCodes>
        </o:OLEObject>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D6"/>
    <w:rsid w:val="0003295E"/>
    <w:rsid w:val="000B4E2B"/>
    <w:rsid w:val="000B7F12"/>
    <w:rsid w:val="002C1D12"/>
    <w:rsid w:val="00322222"/>
    <w:rsid w:val="003A4AEE"/>
    <w:rsid w:val="004C3B77"/>
    <w:rsid w:val="0055626F"/>
    <w:rsid w:val="005F7EB4"/>
    <w:rsid w:val="006004B1"/>
    <w:rsid w:val="0062431D"/>
    <w:rsid w:val="00646CC7"/>
    <w:rsid w:val="00725AD6"/>
    <w:rsid w:val="00794D3A"/>
    <w:rsid w:val="0093005A"/>
    <w:rsid w:val="009912A8"/>
    <w:rsid w:val="009B6807"/>
    <w:rsid w:val="009C55E3"/>
    <w:rsid w:val="00A06A3C"/>
    <w:rsid w:val="00A11F1C"/>
    <w:rsid w:val="00A16DB2"/>
    <w:rsid w:val="00B07D0F"/>
    <w:rsid w:val="00B35E6F"/>
    <w:rsid w:val="00C23507"/>
    <w:rsid w:val="00C97CB5"/>
    <w:rsid w:val="00E752F4"/>
    <w:rsid w:val="00E816D3"/>
    <w:rsid w:val="00EF45B4"/>
    <w:rsid w:val="00FC42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3873"/>
  <w15:chartTrackingRefBased/>
  <w15:docId w15:val="{7020F57A-2A67-4652-A5A5-D6257237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25A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25A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25AD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25AD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725AD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725AD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25AD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25AD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25AD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25AD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25AD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25AD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25AD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725AD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725AD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25AD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25AD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25AD6"/>
    <w:rPr>
      <w:rFonts w:eastAsiaTheme="majorEastAsia" w:cstheme="majorBidi"/>
      <w:color w:val="272727" w:themeColor="text1" w:themeTint="D8"/>
    </w:rPr>
  </w:style>
  <w:style w:type="paragraph" w:styleId="KonuBal">
    <w:name w:val="Title"/>
    <w:basedOn w:val="Normal"/>
    <w:next w:val="Normal"/>
    <w:link w:val="KonuBalChar"/>
    <w:uiPriority w:val="10"/>
    <w:qFormat/>
    <w:rsid w:val="00725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25AD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25AD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25AD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25AD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25AD6"/>
    <w:rPr>
      <w:i/>
      <w:iCs/>
      <w:color w:val="404040" w:themeColor="text1" w:themeTint="BF"/>
    </w:rPr>
  </w:style>
  <w:style w:type="paragraph" w:styleId="ListeParagraf">
    <w:name w:val="List Paragraph"/>
    <w:basedOn w:val="Normal"/>
    <w:uiPriority w:val="34"/>
    <w:qFormat/>
    <w:rsid w:val="00725AD6"/>
    <w:pPr>
      <w:ind w:left="720"/>
      <w:contextualSpacing/>
    </w:pPr>
  </w:style>
  <w:style w:type="character" w:styleId="GlVurgulama">
    <w:name w:val="Intense Emphasis"/>
    <w:basedOn w:val="VarsaylanParagrafYazTipi"/>
    <w:uiPriority w:val="21"/>
    <w:qFormat/>
    <w:rsid w:val="00725AD6"/>
    <w:rPr>
      <w:i/>
      <w:iCs/>
      <w:color w:val="2F5496" w:themeColor="accent1" w:themeShade="BF"/>
    </w:rPr>
  </w:style>
  <w:style w:type="paragraph" w:styleId="GlAlnt">
    <w:name w:val="Intense Quote"/>
    <w:basedOn w:val="Normal"/>
    <w:next w:val="Normal"/>
    <w:link w:val="GlAlntChar"/>
    <w:uiPriority w:val="30"/>
    <w:qFormat/>
    <w:rsid w:val="00725A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725AD6"/>
    <w:rPr>
      <w:i/>
      <w:iCs/>
      <w:color w:val="2F5496" w:themeColor="accent1" w:themeShade="BF"/>
    </w:rPr>
  </w:style>
  <w:style w:type="character" w:styleId="GlBavuru">
    <w:name w:val="Intense Reference"/>
    <w:basedOn w:val="VarsaylanParagrafYazTipi"/>
    <w:uiPriority w:val="32"/>
    <w:qFormat/>
    <w:rsid w:val="00725AD6"/>
    <w:rPr>
      <w:b/>
      <w:bCs/>
      <w:smallCaps/>
      <w:color w:val="2F5496" w:themeColor="accent1" w:themeShade="BF"/>
      <w:spacing w:val="5"/>
    </w:rPr>
  </w:style>
  <w:style w:type="character" w:styleId="Kpr">
    <w:name w:val="Hyperlink"/>
    <w:basedOn w:val="VarsaylanParagrafYazTipi"/>
    <w:uiPriority w:val="99"/>
    <w:unhideWhenUsed/>
    <w:rsid w:val="0062431D"/>
    <w:rPr>
      <w:color w:val="0563C1" w:themeColor="hyperlink"/>
      <w:u w:val="single"/>
    </w:rPr>
  </w:style>
  <w:style w:type="character" w:styleId="zmlenmeyenBahsetme">
    <w:name w:val="Unresolved Mention"/>
    <w:basedOn w:val="VarsaylanParagrafYazTipi"/>
    <w:uiPriority w:val="99"/>
    <w:semiHidden/>
    <w:unhideWhenUsed/>
    <w:rsid w:val="0062431D"/>
    <w:rPr>
      <w:color w:val="605E5C"/>
      <w:shd w:val="clear" w:color="auto" w:fill="E1DFDD"/>
    </w:rPr>
  </w:style>
  <w:style w:type="paragraph" w:styleId="stBilgi">
    <w:name w:val="header"/>
    <w:basedOn w:val="Normal"/>
    <w:link w:val="stBilgiChar"/>
    <w:uiPriority w:val="99"/>
    <w:unhideWhenUsed/>
    <w:rsid w:val="00B35E6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35E6F"/>
  </w:style>
  <w:style w:type="paragraph" w:styleId="AltBilgi">
    <w:name w:val="footer"/>
    <w:basedOn w:val="Normal"/>
    <w:link w:val="AltBilgiChar"/>
    <w:uiPriority w:val="99"/>
    <w:unhideWhenUsed/>
    <w:rsid w:val="00B35E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35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migazete.gov.tr/eskiler/2026/10/20261011-4.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608</Words>
  <Characters>4255</Characters>
  <Application>Microsoft Office Word</Application>
  <DocSecurity>0</DocSecurity>
  <Lines>60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Tuncay KAPUSUZOGLU</dc:creator>
  <cp:keywords/>
  <dc:description/>
  <cp:lastModifiedBy>Devrim Atatas</cp:lastModifiedBy>
  <cp:revision>17</cp:revision>
  <dcterms:created xsi:type="dcterms:W3CDTF">2026-10-10T07:34:00Z</dcterms:created>
  <dcterms:modified xsi:type="dcterms:W3CDTF">2026-10-12T07:35:00Z</dcterms:modified>
</cp:coreProperties>
</file>