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F395" w14:textId="2F75AD6B" w:rsidR="00B73C7A" w:rsidRDefault="00B73C7A" w:rsidP="00B73C7A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VERGİ MEVZUATINDAKİ GELİŞMELER</w:t>
      </w:r>
      <w:r w:rsidRPr="00FC7ED4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5</w:t>
      </w:r>
      <w:r w:rsidRPr="00FC7ED4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TEMMUZ-2</w:t>
      </w:r>
    </w:p>
    <w:p w14:paraId="7D0CF0DE" w14:textId="3BF2B673" w:rsidR="008C7F55" w:rsidRDefault="008C7F55" w:rsidP="008C7F55">
      <w:pPr>
        <w:pStyle w:val="stBilgi"/>
        <w:jc w:val="center"/>
        <w:rPr>
          <w:b/>
          <w:bCs/>
        </w:rPr>
      </w:pPr>
      <w:r w:rsidRPr="00D32217">
        <w:rPr>
          <w:b/>
          <w:bCs/>
        </w:rPr>
        <w:t>(</w:t>
      </w:r>
      <w:r>
        <w:rPr>
          <w:b/>
          <w:bCs/>
        </w:rPr>
        <w:t>16.07.2025-</w:t>
      </w:r>
      <w:r w:rsidR="005B4F10">
        <w:rPr>
          <w:b/>
          <w:bCs/>
        </w:rPr>
        <w:t>18.07.2025</w:t>
      </w:r>
      <w:r w:rsidRPr="00D32217">
        <w:rPr>
          <w:b/>
          <w:bCs/>
        </w:rPr>
        <w:t>)</w:t>
      </w:r>
    </w:p>
    <w:p w14:paraId="52369464" w14:textId="77777777" w:rsidR="00C23507" w:rsidRDefault="00C23507"/>
    <w:p w14:paraId="072E56F6" w14:textId="0DCC7CB1" w:rsidR="008C7F55" w:rsidRPr="008C7F55" w:rsidRDefault="008C7F55">
      <w:pPr>
        <w:rPr>
          <w:b/>
          <w:bCs/>
          <w:sz w:val="26"/>
          <w:szCs w:val="26"/>
        </w:rPr>
      </w:pPr>
      <w:r w:rsidRPr="008C7F55">
        <w:rPr>
          <w:b/>
          <w:bCs/>
          <w:sz w:val="26"/>
          <w:szCs w:val="26"/>
        </w:rPr>
        <w:t>I- TÜRKİYE SÜRDÜRÜLEBİLİRLİK RAPORLAMA STANDARTLARI (TSRS) UYGULAMA KAPSAMINA İLİŞKİN USUL VE ESASLAR YAYIMLANMIŞTIR</w:t>
      </w:r>
    </w:p>
    <w:p w14:paraId="066237F9" w14:textId="2EDCCE24" w:rsidR="008C7F55" w:rsidRDefault="008C7F55" w:rsidP="00943A5E">
      <w:pPr>
        <w:jc w:val="both"/>
      </w:pPr>
      <w:r>
        <w:t>Türkiye Sürdürülebilirlik Raporlama Standartları (TSRS) Uygulama Kapsamına İlişkin Usul ve Esaslar, Kamu Gözetimi, Muhasebe ve Denetim Standartları Kurumu’nun 25.06.2025 tarihli ve 75935942-050.01.04</w:t>
      </w:r>
      <w:proofErr w:type="gramStart"/>
      <w:r>
        <w:t>-</w:t>
      </w:r>
      <w:r>
        <w:rPr>
          <w:rFonts w:cstheme="minorHAnsi"/>
        </w:rPr>
        <w:t>[</w:t>
      </w:r>
      <w:proofErr w:type="gramEnd"/>
      <w:r>
        <w:rPr>
          <w:rFonts w:cstheme="minorHAnsi"/>
        </w:rPr>
        <w:t xml:space="preserve">01/33130] sayılı Kararı olarak </w:t>
      </w:r>
      <w:r>
        <w:t xml:space="preserve">16 Temmuz 2025 tarihli ve 32957 sayılı </w:t>
      </w:r>
      <w:proofErr w:type="gramStart"/>
      <w:r>
        <w:t>Resmi</w:t>
      </w:r>
      <w:proofErr w:type="gramEnd"/>
      <w:r>
        <w:t xml:space="preserve"> </w:t>
      </w:r>
      <w:proofErr w:type="spellStart"/>
      <w:r>
        <w:t>Gazete’de</w:t>
      </w:r>
      <w:proofErr w:type="spellEnd"/>
      <w:r>
        <w:t xml:space="preserve"> yayımlanmıştır.</w:t>
      </w:r>
    </w:p>
    <w:p w14:paraId="23A16A3C" w14:textId="77777777" w:rsidR="00424B8A" w:rsidRDefault="00424B8A" w:rsidP="00943A5E">
      <w:pPr>
        <w:jc w:val="both"/>
      </w:pPr>
      <w:r>
        <w:t xml:space="preserve">Söz konusu </w:t>
      </w:r>
      <w:r w:rsidRPr="00424B8A">
        <w:t xml:space="preserve">Usul ve </w:t>
      </w:r>
      <w:proofErr w:type="spellStart"/>
      <w:r w:rsidRPr="00424B8A">
        <w:t>Esaslar’</w:t>
      </w:r>
      <w:r>
        <w:t>ın</w:t>
      </w:r>
      <w:proofErr w:type="spellEnd"/>
      <w:r w:rsidRPr="00424B8A">
        <w:t xml:space="preserve"> amacı, Kamu Gözetimi, Muhasebe ve Denetim Standartla</w:t>
      </w:r>
      <w:r>
        <w:t>rı</w:t>
      </w:r>
      <w:r w:rsidRPr="00424B8A">
        <w:t xml:space="preserve"> Kurulu’nun Türkiye Sürdürülebilirlik Raporlama Standartları (TSRS) Uygulama Kapsamına İlişkin 27/12/2023 tarihli ve 21634 sayılı Kurul Kara</w:t>
      </w:r>
      <w:r>
        <w:t>rı</w:t>
      </w:r>
      <w:r w:rsidRPr="00424B8A">
        <w:t xml:space="preserve"> ile 16/12/2024 tarihli ve 28294 sayılı Kurul Kararının uygulanmasına yönelik usul ve esasları düzenlemektir.</w:t>
      </w:r>
    </w:p>
    <w:p w14:paraId="0B370849" w14:textId="0199007F" w:rsidR="008C7F55" w:rsidRDefault="00424B8A" w:rsidP="008C7F55">
      <w:pPr>
        <w:jc w:val="both"/>
      </w:pPr>
      <w:r>
        <w:t>Anılan</w:t>
      </w:r>
      <w:r w:rsidR="008C7F55" w:rsidRPr="008C7F55">
        <w:t xml:space="preserve"> Usul ve Esaslar, </w:t>
      </w:r>
      <w:proofErr w:type="spellStart"/>
      <w:r w:rsidR="008C7F55" w:rsidRPr="008C7F55">
        <w:t>Kural’un</w:t>
      </w:r>
      <w:proofErr w:type="spellEnd"/>
      <w:r w:rsidR="008C7F55" w:rsidRPr="008C7F55">
        <w:t xml:space="preserve"> 27/12/2023 tarihli ve 21634 sayılı Kurul Kara</w:t>
      </w:r>
      <w:r w:rsidR="008C7F55">
        <w:t>rı</w:t>
      </w:r>
      <w:r w:rsidR="008C7F55" w:rsidRPr="008C7F55">
        <w:t xml:space="preserve"> ile 16/12/2024 tarihli ve 28294 sayılı Kurul Kararı uyarınca; kurum, kuruluş ve işletmelerin Kararlarda belirtilen nitelikleri sağlayarak zorunlu sürdürülebilirlik raporlamasına tâbi olup olmayacakla</w:t>
      </w:r>
      <w:r w:rsidR="008C7F55">
        <w:t>rı</w:t>
      </w:r>
      <w:r w:rsidR="008C7F55" w:rsidRPr="008C7F55">
        <w:t>nın belirlenmesine yönelik değerlendirmeleri kapsa</w:t>
      </w:r>
      <w:r w:rsidR="008C7F55">
        <w:t>maktadır.</w:t>
      </w:r>
    </w:p>
    <w:p w14:paraId="31D2D670" w14:textId="77777777" w:rsidR="007034F2" w:rsidRDefault="00301F16" w:rsidP="00301F16">
      <w:pPr>
        <w:jc w:val="both"/>
      </w:pPr>
      <w:r>
        <w:t>Kamu Gözetimi, Muhasebe ve Denetim Standartları Kurumu’nun açıklamaları doğrultusunda, “b</w:t>
      </w:r>
      <w:r w:rsidRPr="00301F16">
        <w:t>ir şirketin sürdürülebilirlik raporlaması yapma zorunluluğunun bulunması için öncelikle mutlaka </w:t>
      </w:r>
      <w:r w:rsidRPr="00301F16">
        <w:rPr>
          <w:i/>
          <w:iCs/>
        </w:rPr>
        <w:t>Kurul Kararının 3’üncü Maddesinin Birinci Fıkrasında Sayılan ve Hadlere Tabi Olan İşletmeler Listesi</w:t>
      </w:r>
      <w:r w:rsidRPr="00301F16">
        <w:t>nde sayılı şirket türlerinden birisi olması gerekmektedir. Bu liste, kamu yararını ilgilendiren kuruluşlar baz alınarak oluşturulmuş bir listedir.</w:t>
      </w:r>
      <w:r w:rsidR="007034F2">
        <w:t xml:space="preserve"> Listeye Kamu Gözetimi, Muhasebe ve Denetim Standartları Kurumu’nun web sayfasından ulaşmak mümkündür. </w:t>
      </w:r>
    </w:p>
    <w:p w14:paraId="7543497F" w14:textId="007958E3" w:rsidR="00301F16" w:rsidRPr="00301F16" w:rsidRDefault="007034F2" w:rsidP="00301F16">
      <w:pPr>
        <w:jc w:val="both"/>
      </w:pPr>
      <w:r>
        <w:t>(</w:t>
      </w:r>
      <w:proofErr w:type="gramStart"/>
      <w:r w:rsidRPr="007034F2">
        <w:t>https://kgk.gov.tr/Portalv2Uploads/files/Duyurular/sustainability/Duyuru_Surdurulebilirlik_.pdf</w:t>
      </w:r>
      <w:proofErr w:type="gramEnd"/>
      <w:r>
        <w:t>)</w:t>
      </w:r>
    </w:p>
    <w:p w14:paraId="31678F97" w14:textId="77777777" w:rsidR="00301F16" w:rsidRPr="00301F16" w:rsidRDefault="00301F16" w:rsidP="00301F16">
      <w:pPr>
        <w:jc w:val="both"/>
      </w:pPr>
      <w:r w:rsidRPr="00301F16">
        <w:rPr>
          <w:u w:val="single"/>
        </w:rPr>
        <w:t>Listede yer alan şirket türlerinden biri olmayan bir şirketin sürdürülebilirlik raporlaması yapması zorunlu değildir</w:t>
      </w:r>
      <w:r w:rsidRPr="00301F16">
        <w:t>.</w:t>
      </w:r>
    </w:p>
    <w:p w14:paraId="6CFC5078" w14:textId="77777777" w:rsidR="00301F16" w:rsidRPr="00301F16" w:rsidRDefault="00301F16" w:rsidP="00301F16">
      <w:pPr>
        <w:jc w:val="both"/>
      </w:pPr>
      <w:r w:rsidRPr="00301F16">
        <w:t>Liste kapsamına giren bir şirketin yine bakması gereken bir kriter bulunmaktadır; eğer şirket aşağıdaki ölçütlerden en az ikisinin eşik değerlerini art arda iki raporlama döneminde aşıyorsa zorunlu uygulama kapsamına dâhildir:</w:t>
      </w:r>
    </w:p>
    <w:p w14:paraId="26A809C6" w14:textId="77777777" w:rsidR="00301F16" w:rsidRPr="00301F16" w:rsidRDefault="00301F16" w:rsidP="00301F16">
      <w:pPr>
        <w:numPr>
          <w:ilvl w:val="0"/>
          <w:numId w:val="1"/>
        </w:numPr>
        <w:jc w:val="both"/>
      </w:pPr>
      <w:r w:rsidRPr="00301F16">
        <w:t xml:space="preserve">Aktif toplamı 500 Milyon Türk </w:t>
      </w:r>
      <w:proofErr w:type="gramStart"/>
      <w:r w:rsidRPr="00301F16">
        <w:t>Lirası</w:t>
      </w:r>
      <w:proofErr w:type="gramEnd"/>
    </w:p>
    <w:p w14:paraId="178BC647" w14:textId="77777777" w:rsidR="00301F16" w:rsidRPr="00301F16" w:rsidRDefault="00301F16" w:rsidP="00301F16">
      <w:pPr>
        <w:numPr>
          <w:ilvl w:val="0"/>
          <w:numId w:val="1"/>
        </w:numPr>
        <w:jc w:val="both"/>
      </w:pPr>
      <w:r w:rsidRPr="00301F16">
        <w:t xml:space="preserve">Yıllık net satış hasılatı 1 Milyar Türk </w:t>
      </w:r>
      <w:proofErr w:type="gramStart"/>
      <w:r w:rsidRPr="00301F16">
        <w:t>Lirası</w:t>
      </w:r>
      <w:proofErr w:type="gramEnd"/>
    </w:p>
    <w:p w14:paraId="684240FF" w14:textId="77777777" w:rsidR="00301F16" w:rsidRPr="00301F16" w:rsidRDefault="00301F16" w:rsidP="00301F16">
      <w:pPr>
        <w:numPr>
          <w:ilvl w:val="0"/>
          <w:numId w:val="1"/>
        </w:numPr>
        <w:jc w:val="both"/>
      </w:pPr>
      <w:r w:rsidRPr="00301F16">
        <w:t>Çalışan sayısı 250 kişi</w:t>
      </w:r>
    </w:p>
    <w:p w14:paraId="50C4611C" w14:textId="77777777" w:rsidR="00301F16" w:rsidRPr="00301F16" w:rsidRDefault="00301F16" w:rsidP="00301F16">
      <w:pPr>
        <w:jc w:val="both"/>
      </w:pPr>
      <w:r w:rsidRPr="00301F16">
        <w:rPr>
          <w:u w:val="single"/>
        </w:rPr>
        <w:t>Listede yer alan ancak ölçütleri sağlamayan bir şirket, sürdürülebilirlik raporlaması yapmak zorunda değildir.</w:t>
      </w:r>
    </w:p>
    <w:p w14:paraId="18CE4D49" w14:textId="77777777" w:rsidR="00301F16" w:rsidRPr="00301F16" w:rsidRDefault="00301F16" w:rsidP="00301F16">
      <w:pPr>
        <w:jc w:val="both"/>
      </w:pPr>
      <w:r w:rsidRPr="00301F16">
        <w:t xml:space="preserve">Bankalar içinse farklı bir durum söz konusudur: 5411 Sayılı Bankacılık Kanunu uyarınca Bankacılık Düzenleme ve Denetleme Kurumunun düzenleme ve denetimine tabi bankalar, herhangi bir eşik </w:t>
      </w:r>
      <w:r w:rsidRPr="00301F16">
        <w:lastRenderedPageBreak/>
        <w:t>değere tabi olmaksızın zorunlu raporlama kapsamındadırlar. Ancak Tasarruf Mevduatı Sigorta Fonu bünyesinde yer alanlar bankalar bu uygulamadan muaf tutulmuştur.</w:t>
      </w:r>
    </w:p>
    <w:p w14:paraId="3D77A264" w14:textId="77777777" w:rsidR="00301F16" w:rsidRDefault="00301F16" w:rsidP="00301F16">
      <w:pPr>
        <w:jc w:val="both"/>
      </w:pPr>
      <w:r w:rsidRPr="00301F16">
        <w:t>Öte yandan, zorunlu olmamakla birlikte, kapsam dışında yer alan işletmeler de gönüllülük esasına göre Türkiye Sürdürülebilirlik Raporlama Standartlarına uygun raporlama yapabilirler.</w:t>
      </w:r>
    </w:p>
    <w:p w14:paraId="2D8FF631" w14:textId="63870193" w:rsidR="007034F2" w:rsidRPr="00AD460A" w:rsidRDefault="00AD460A" w:rsidP="00301F16">
      <w:pPr>
        <w:jc w:val="both"/>
        <w:rPr>
          <w:b/>
          <w:bCs/>
          <w:sz w:val="26"/>
          <w:szCs w:val="26"/>
        </w:rPr>
      </w:pPr>
      <w:r w:rsidRPr="00AD460A">
        <w:rPr>
          <w:b/>
          <w:bCs/>
          <w:sz w:val="26"/>
          <w:szCs w:val="26"/>
        </w:rPr>
        <w:t>II- DÖVİZ VE ALTIN KREDİLERİNDE KAYNAK KULLANIMI DESTEKLEME FONU KESİNTİSİ GETİRİLMİŞTİR</w:t>
      </w:r>
    </w:p>
    <w:p w14:paraId="762557E2" w14:textId="2F7ECC33" w:rsidR="00301F16" w:rsidRDefault="00AD460A" w:rsidP="008C7F55">
      <w:pPr>
        <w:jc w:val="both"/>
      </w:pPr>
      <w:r w:rsidRPr="00AD460A">
        <w:t xml:space="preserve">18 Temmuz 2025 tarihli ve 32959 sayılı </w:t>
      </w:r>
      <w:proofErr w:type="gramStart"/>
      <w:r w:rsidRPr="00AD460A">
        <w:t>Resmi</w:t>
      </w:r>
      <w:proofErr w:type="gramEnd"/>
      <w:r w:rsidRPr="00AD460A">
        <w:t xml:space="preserve"> </w:t>
      </w:r>
      <w:proofErr w:type="spellStart"/>
      <w:r w:rsidRPr="00AD460A">
        <w:t>Gazete’de</w:t>
      </w:r>
      <w:proofErr w:type="spellEnd"/>
      <w:r w:rsidRPr="00AD460A">
        <w:t xml:space="preserve"> yayımlanan 10094 sayılı Cumhurbaşkanlığı Kararı ile Kaynak Kullanımını Destekleme Fonu kesintisi hakkındaki </w:t>
      </w:r>
      <w:r>
        <w:t xml:space="preserve">Karar </w:t>
      </w:r>
      <w:r w:rsidRPr="00AD460A">
        <w:t xml:space="preserve">ekli Kararın </w:t>
      </w:r>
      <w:r>
        <w:t xml:space="preserve">18 Temmuz 2025 tarihinden itibaren </w:t>
      </w:r>
      <w:r w:rsidRPr="00AD460A">
        <w:t>yürürlüğe </w:t>
      </w:r>
      <w:r>
        <w:t>konulmasına karar verilmiştir. Söz konusu Karara göre;</w:t>
      </w:r>
    </w:p>
    <w:p w14:paraId="57631A0C" w14:textId="4AC0FC98" w:rsidR="00AD460A" w:rsidRPr="00AD460A" w:rsidRDefault="00AD460A" w:rsidP="00AD460A">
      <w:pPr>
        <w:jc w:val="both"/>
      </w:pPr>
      <w:r>
        <w:t xml:space="preserve">- </w:t>
      </w:r>
      <w:r w:rsidRPr="00AD460A">
        <w:t xml:space="preserve">Bankalar ve finansman şirketlerince kullandırılan diğer kredilerde Kaynak Kullanımını Destekleme Fonu kesintisi oranı </w:t>
      </w:r>
      <w:r w:rsidRPr="00AD460A">
        <w:rPr>
          <w:b/>
          <w:bCs/>
        </w:rPr>
        <w:t xml:space="preserve">döviz ve altın kredilerinde %1, </w:t>
      </w:r>
      <w:r w:rsidRPr="00AD460A">
        <w:t>diğerlerinde %0 olarak tespit edilmiştir.</w:t>
      </w:r>
    </w:p>
    <w:p w14:paraId="18690D53" w14:textId="77777777" w:rsidR="00AD460A" w:rsidRDefault="00AD460A" w:rsidP="00AD460A">
      <w:pPr>
        <w:jc w:val="both"/>
      </w:pPr>
      <w:r>
        <w:rPr>
          <w:b/>
          <w:bCs/>
        </w:rPr>
        <w:t xml:space="preserve">- </w:t>
      </w:r>
      <w:proofErr w:type="spellStart"/>
      <w:r w:rsidRPr="00AD460A">
        <w:t>Faktoring</w:t>
      </w:r>
      <w:proofErr w:type="spellEnd"/>
      <w:r w:rsidRPr="00AD460A">
        <w:t xml:space="preserve"> şirketleri ile finansal kiralama şirketlerine yurt içinden kullandırılan döviz kredilerinde Kaynak Kullanımını Destekleme Fonu kesintisi oranı %0 olarak tespit edilmiştir.</w:t>
      </w:r>
    </w:p>
    <w:p w14:paraId="4CE901B6" w14:textId="481DBC11" w:rsidR="00AD460A" w:rsidRPr="00AD460A" w:rsidRDefault="00AD460A" w:rsidP="00AD460A">
      <w:pPr>
        <w:jc w:val="both"/>
      </w:pPr>
      <w:r>
        <w:t xml:space="preserve">- </w:t>
      </w:r>
      <w:r w:rsidRPr="00AD460A">
        <w:t>Bu Karar, yayımı tarihini izleyen günden itibaren kullandırılacak kredilere uygulanmak üzere yayımı tarihinde yürürlüğe gire</w:t>
      </w:r>
      <w:r>
        <w:t>cektir.</w:t>
      </w:r>
    </w:p>
    <w:p w14:paraId="157F4FF0" w14:textId="77777777" w:rsidR="00AD460A" w:rsidRDefault="00AD460A" w:rsidP="008C7F55">
      <w:pPr>
        <w:jc w:val="both"/>
      </w:pPr>
    </w:p>
    <w:sectPr w:rsidR="00AD46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0AF2" w14:textId="77777777" w:rsidR="00EB0FB9" w:rsidRDefault="00EB0FB9" w:rsidP="00CD3581">
      <w:pPr>
        <w:spacing w:after="0" w:line="240" w:lineRule="auto"/>
      </w:pPr>
      <w:r>
        <w:separator/>
      </w:r>
    </w:p>
  </w:endnote>
  <w:endnote w:type="continuationSeparator" w:id="0">
    <w:p w14:paraId="205C8244" w14:textId="77777777" w:rsidR="00EB0FB9" w:rsidRDefault="00EB0FB9" w:rsidP="00CD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8306023"/>
      <w:docPartObj>
        <w:docPartGallery w:val="Page Numbers (Bottom of Page)"/>
        <w:docPartUnique/>
      </w:docPartObj>
    </w:sdtPr>
    <w:sdtContent>
      <w:p w14:paraId="6BE59E68" w14:textId="5F65D5A5" w:rsidR="00CD3581" w:rsidRDefault="00CD358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776675" w14:textId="77777777" w:rsidR="00CD3581" w:rsidRDefault="00CD35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3151" w14:textId="77777777" w:rsidR="00EB0FB9" w:rsidRDefault="00EB0FB9" w:rsidP="00CD3581">
      <w:pPr>
        <w:spacing w:after="0" w:line="240" w:lineRule="auto"/>
      </w:pPr>
      <w:r>
        <w:separator/>
      </w:r>
    </w:p>
  </w:footnote>
  <w:footnote w:type="continuationSeparator" w:id="0">
    <w:p w14:paraId="59153E18" w14:textId="77777777" w:rsidR="00EB0FB9" w:rsidRDefault="00EB0FB9" w:rsidP="00CD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812315451"/>
  <w:bookmarkEnd w:id="0"/>
  <w:p w14:paraId="2CE6165F" w14:textId="00878AE7" w:rsidR="006F1BF7" w:rsidRDefault="006F1BF7">
    <w:pPr>
      <w:pStyle w:val="stBilgi"/>
    </w:pPr>
    <w:r w:rsidRPr="00F22779">
      <w:rPr>
        <w:b/>
        <w:bCs/>
      </w:rPr>
      <w:object w:dxaOrig="9072" w:dyaOrig="1927" w14:anchorId="4248DE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96.5pt">
          <v:imagedata r:id="rId1" o:title=""/>
        </v:shape>
        <o:OLEObject Type="Embed" ProgID="Word.Document.12" ShapeID="_x0000_i1025" DrawAspect="Content" ObjectID="_181455805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57384"/>
    <w:multiLevelType w:val="multilevel"/>
    <w:tmpl w:val="B6D6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94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55"/>
    <w:rsid w:val="000C366E"/>
    <w:rsid w:val="001B7832"/>
    <w:rsid w:val="002C14D3"/>
    <w:rsid w:val="00301F16"/>
    <w:rsid w:val="00424B8A"/>
    <w:rsid w:val="00505B20"/>
    <w:rsid w:val="00556481"/>
    <w:rsid w:val="005B4F10"/>
    <w:rsid w:val="006F1BF7"/>
    <w:rsid w:val="007034F2"/>
    <w:rsid w:val="00794D3A"/>
    <w:rsid w:val="008C7F55"/>
    <w:rsid w:val="008E484F"/>
    <w:rsid w:val="00943A5E"/>
    <w:rsid w:val="009B6807"/>
    <w:rsid w:val="00AD460A"/>
    <w:rsid w:val="00B73C7A"/>
    <w:rsid w:val="00C23507"/>
    <w:rsid w:val="00CD3581"/>
    <w:rsid w:val="00DA346C"/>
    <w:rsid w:val="00EB0FB9"/>
    <w:rsid w:val="00EF3CAB"/>
    <w:rsid w:val="00FD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E36C"/>
  <w15:chartTrackingRefBased/>
  <w15:docId w15:val="{511ED917-D2E5-4D7A-8364-ABDA700F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7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7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7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7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7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7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7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7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7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7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7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7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7F5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7F5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7F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7F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7F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7F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7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7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7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7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7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7F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7F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7F5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7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7F5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7F55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C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7F55"/>
  </w:style>
  <w:style w:type="character" w:styleId="Kpr">
    <w:name w:val="Hyperlink"/>
    <w:basedOn w:val="VarsaylanParagrafYazTipi"/>
    <w:uiPriority w:val="99"/>
    <w:unhideWhenUsed/>
    <w:rsid w:val="00301F1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01F16"/>
    <w:rPr>
      <w:color w:val="605E5C"/>
      <w:shd w:val="clear" w:color="auto" w:fill="E1DFDD"/>
    </w:rPr>
  </w:style>
  <w:style w:type="paragraph" w:styleId="AltBilgi">
    <w:name w:val="footer"/>
    <w:basedOn w:val="Normal"/>
    <w:link w:val="AltBilgiChar"/>
    <w:uiPriority w:val="99"/>
    <w:unhideWhenUsed/>
    <w:rsid w:val="00CD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KAPUSUZOGLU</dc:creator>
  <cp:keywords/>
  <dc:description/>
  <cp:lastModifiedBy>Devrim ATATAŞ</cp:lastModifiedBy>
  <cp:revision>10</cp:revision>
  <dcterms:created xsi:type="dcterms:W3CDTF">2025-07-17T09:16:00Z</dcterms:created>
  <dcterms:modified xsi:type="dcterms:W3CDTF">2025-07-20T20:08:00Z</dcterms:modified>
</cp:coreProperties>
</file>