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FF44" w14:textId="5E3B8E8A" w:rsidR="00405F7C" w:rsidRDefault="00405F7C" w:rsidP="00405F7C">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MAYIS-1</w:t>
      </w:r>
    </w:p>
    <w:p w14:paraId="01C0AD09" w14:textId="6738BB33" w:rsidR="00FE06BE" w:rsidRDefault="00FE06BE" w:rsidP="00FE06BE">
      <w:pPr>
        <w:pStyle w:val="stBilgi"/>
        <w:jc w:val="center"/>
        <w:rPr>
          <w:b/>
          <w:bCs/>
        </w:rPr>
      </w:pPr>
      <w:r w:rsidRPr="00D32217">
        <w:rPr>
          <w:b/>
          <w:bCs/>
        </w:rPr>
        <w:t>(</w:t>
      </w:r>
      <w:r>
        <w:rPr>
          <w:b/>
          <w:bCs/>
        </w:rPr>
        <w:t>22.</w:t>
      </w:r>
      <w:r w:rsidRPr="00D32217">
        <w:rPr>
          <w:b/>
          <w:bCs/>
        </w:rPr>
        <w:t>04.2025</w:t>
      </w:r>
      <w:r w:rsidR="00CB7ACC">
        <w:rPr>
          <w:b/>
          <w:bCs/>
        </w:rPr>
        <w:t>-01.05.2025</w:t>
      </w:r>
      <w:r w:rsidRPr="00D32217">
        <w:rPr>
          <w:b/>
          <w:bCs/>
        </w:rPr>
        <w:t>)</w:t>
      </w:r>
    </w:p>
    <w:p w14:paraId="568CD06E" w14:textId="77777777" w:rsidR="00405F7C" w:rsidRDefault="00405F7C" w:rsidP="00FE06BE">
      <w:pPr>
        <w:pStyle w:val="stBilgi"/>
        <w:jc w:val="center"/>
        <w:rPr>
          <w:b/>
          <w:bCs/>
        </w:rPr>
      </w:pPr>
    </w:p>
    <w:p w14:paraId="71EB105D" w14:textId="77777777" w:rsidR="004561C3" w:rsidRPr="00D32217" w:rsidRDefault="004561C3" w:rsidP="00FE06BE">
      <w:pPr>
        <w:pStyle w:val="stBilgi"/>
        <w:jc w:val="center"/>
        <w:rPr>
          <w:b/>
          <w:bCs/>
        </w:rPr>
      </w:pPr>
    </w:p>
    <w:p w14:paraId="57BAD4A9" w14:textId="77777777" w:rsidR="00FE06BE" w:rsidRDefault="00FE06BE" w:rsidP="00FE06BE">
      <w:pPr>
        <w:pStyle w:val="stBilgi"/>
      </w:pPr>
    </w:p>
    <w:p w14:paraId="50BDDE31" w14:textId="0E549FB0" w:rsidR="00C23507" w:rsidRPr="00FE06BE" w:rsidRDefault="00FE06BE">
      <w:pPr>
        <w:rPr>
          <w:b/>
          <w:bCs/>
          <w:sz w:val="26"/>
          <w:szCs w:val="26"/>
        </w:rPr>
      </w:pPr>
      <w:r w:rsidRPr="00FE06BE">
        <w:rPr>
          <w:b/>
          <w:bCs/>
          <w:sz w:val="26"/>
          <w:szCs w:val="26"/>
        </w:rPr>
        <w:t xml:space="preserve">I- ENFLASYON DÜZELTMESİNDE 2025 </w:t>
      </w:r>
      <w:r>
        <w:rPr>
          <w:b/>
          <w:bCs/>
          <w:sz w:val="26"/>
          <w:szCs w:val="26"/>
        </w:rPr>
        <w:t>Y</w:t>
      </w:r>
      <w:r w:rsidRPr="00FE06BE">
        <w:rPr>
          <w:b/>
          <w:bCs/>
          <w:sz w:val="26"/>
          <w:szCs w:val="26"/>
        </w:rPr>
        <w:t>ILI OCAK-MART DÖNEMİ ORTALAMA TİCARİ KREDİ FAİZ ORANLARI BELİRLENMİŞTİR</w:t>
      </w:r>
    </w:p>
    <w:p w14:paraId="1C1DB75A" w14:textId="587788D5" w:rsidR="00FE06BE" w:rsidRDefault="00FE06BE" w:rsidP="009C5311">
      <w:pPr>
        <w:jc w:val="both"/>
      </w:pPr>
      <w:r>
        <w:t xml:space="preserve">22.04.2025 tarihinde yayınlanan 187 numaralı Vergi Usul Kanunu Sirküleri ile </w:t>
      </w:r>
      <w:r w:rsidRPr="00FE06BE">
        <w:t>2025/Ocak, 2025/Şubat ve 2025/</w:t>
      </w:r>
      <w:proofErr w:type="gramStart"/>
      <w:r w:rsidRPr="00FE06BE">
        <w:t>Mart</w:t>
      </w:r>
      <w:proofErr w:type="gramEnd"/>
      <w:r w:rsidRPr="00FE06BE">
        <w:t xml:space="preserve"> aylarına ilişkin ortalama ticari kredi faiz oranları</w:t>
      </w:r>
      <w:r>
        <w:t xml:space="preserve"> belirlen</w:t>
      </w:r>
      <w:r w:rsidRPr="00FE06BE">
        <w:t>miştir. </w:t>
      </w:r>
      <w:r>
        <w:t>Buna göre ilgili oranlar aşağıdaki gibidir:</w:t>
      </w:r>
    </w:p>
    <w:tbl>
      <w:tblPr>
        <w:tblStyle w:val="TabloKlavuzu"/>
        <w:tblW w:w="0" w:type="auto"/>
        <w:tblLook w:val="04A0" w:firstRow="1" w:lastRow="0" w:firstColumn="1" w:lastColumn="0" w:noHBand="0" w:noVBand="1"/>
      </w:tblPr>
      <w:tblGrid>
        <w:gridCol w:w="2122"/>
        <w:gridCol w:w="3827"/>
      </w:tblGrid>
      <w:tr w:rsidR="00FE06BE" w14:paraId="4E9A5ED8" w14:textId="77777777" w:rsidTr="00FE06BE">
        <w:tc>
          <w:tcPr>
            <w:tcW w:w="2122" w:type="dxa"/>
          </w:tcPr>
          <w:p w14:paraId="1BB22D32" w14:textId="3E225626" w:rsidR="00FE06BE" w:rsidRPr="00FE06BE" w:rsidRDefault="00FE06BE">
            <w:pPr>
              <w:rPr>
                <w:b/>
                <w:bCs/>
              </w:rPr>
            </w:pPr>
            <w:r w:rsidRPr="00FE06BE">
              <w:rPr>
                <w:b/>
                <w:bCs/>
              </w:rPr>
              <w:t>Dönem (2025)</w:t>
            </w:r>
          </w:p>
        </w:tc>
        <w:tc>
          <w:tcPr>
            <w:tcW w:w="3827" w:type="dxa"/>
          </w:tcPr>
          <w:p w14:paraId="1D7C8F83" w14:textId="75D8A3D6" w:rsidR="00FE06BE" w:rsidRPr="00FE06BE" w:rsidRDefault="00FE06BE">
            <w:pPr>
              <w:rPr>
                <w:b/>
                <w:bCs/>
              </w:rPr>
            </w:pPr>
            <w:r w:rsidRPr="00FE06BE">
              <w:rPr>
                <w:b/>
                <w:bCs/>
              </w:rPr>
              <w:t>Ortalama Ticari Kredi Faiz Oranı (%)</w:t>
            </w:r>
          </w:p>
        </w:tc>
      </w:tr>
      <w:tr w:rsidR="00FE06BE" w14:paraId="04202994" w14:textId="77777777" w:rsidTr="00FE06BE">
        <w:tc>
          <w:tcPr>
            <w:tcW w:w="2122" w:type="dxa"/>
          </w:tcPr>
          <w:p w14:paraId="13355E89" w14:textId="383001BF" w:rsidR="00FE06BE" w:rsidRDefault="00FE06BE">
            <w:r>
              <w:t>Ocak</w:t>
            </w:r>
          </w:p>
        </w:tc>
        <w:tc>
          <w:tcPr>
            <w:tcW w:w="3827" w:type="dxa"/>
          </w:tcPr>
          <w:p w14:paraId="01786DFD" w14:textId="376AD820" w:rsidR="00FE06BE" w:rsidRDefault="00FE06BE" w:rsidP="00FE06BE">
            <w:pPr>
              <w:jc w:val="center"/>
            </w:pPr>
            <w:r>
              <w:t>62,12</w:t>
            </w:r>
          </w:p>
        </w:tc>
      </w:tr>
      <w:tr w:rsidR="00FE06BE" w14:paraId="5AA41F0A" w14:textId="77777777" w:rsidTr="00FE06BE">
        <w:tc>
          <w:tcPr>
            <w:tcW w:w="2122" w:type="dxa"/>
          </w:tcPr>
          <w:p w14:paraId="60E7BBC0" w14:textId="613C696D" w:rsidR="00FE06BE" w:rsidRDefault="00FE06BE">
            <w:r>
              <w:t>Şubat</w:t>
            </w:r>
          </w:p>
        </w:tc>
        <w:tc>
          <w:tcPr>
            <w:tcW w:w="3827" w:type="dxa"/>
          </w:tcPr>
          <w:p w14:paraId="351AA7CC" w14:textId="478F5D45" w:rsidR="00FE06BE" w:rsidRDefault="00FE06BE" w:rsidP="00FE06BE">
            <w:pPr>
              <w:jc w:val="center"/>
            </w:pPr>
            <w:r>
              <w:t>58,47</w:t>
            </w:r>
          </w:p>
        </w:tc>
      </w:tr>
      <w:tr w:rsidR="00FE06BE" w14:paraId="7FCA5C3E" w14:textId="77777777" w:rsidTr="00FE06BE">
        <w:tc>
          <w:tcPr>
            <w:tcW w:w="2122" w:type="dxa"/>
          </w:tcPr>
          <w:p w14:paraId="6547ABFB" w14:textId="26CCC588" w:rsidR="00FE06BE" w:rsidRDefault="00FE06BE">
            <w:r>
              <w:t>Mart</w:t>
            </w:r>
          </w:p>
        </w:tc>
        <w:tc>
          <w:tcPr>
            <w:tcW w:w="3827" w:type="dxa"/>
          </w:tcPr>
          <w:p w14:paraId="099DA4DD" w14:textId="0982539F" w:rsidR="00FE06BE" w:rsidRDefault="00FE06BE" w:rsidP="00FE06BE">
            <w:pPr>
              <w:jc w:val="center"/>
            </w:pPr>
            <w:r>
              <w:t>59,43</w:t>
            </w:r>
          </w:p>
        </w:tc>
      </w:tr>
    </w:tbl>
    <w:p w14:paraId="5164BAA3" w14:textId="77777777" w:rsidR="00FE06BE" w:rsidRDefault="00FE06BE"/>
    <w:p w14:paraId="2FA142F0" w14:textId="552E151F" w:rsidR="0050763B" w:rsidRDefault="0050763B" w:rsidP="00B634C1">
      <w:pPr>
        <w:jc w:val="both"/>
        <w:rPr>
          <w:b/>
          <w:bCs/>
          <w:sz w:val="26"/>
          <w:szCs w:val="26"/>
        </w:rPr>
      </w:pPr>
      <w:r>
        <w:rPr>
          <w:b/>
          <w:bCs/>
          <w:sz w:val="26"/>
          <w:szCs w:val="26"/>
        </w:rPr>
        <w:t>II- DAMGA VERGİSİ BEYANNAMELERİ 01.06.2025 TARİHİNDEN İTİBAREN ELEKTRONİK ORTA</w:t>
      </w:r>
      <w:r w:rsidR="00D747B4">
        <w:rPr>
          <w:b/>
          <w:bCs/>
          <w:sz w:val="26"/>
          <w:szCs w:val="26"/>
        </w:rPr>
        <w:t>M</w:t>
      </w:r>
      <w:r>
        <w:rPr>
          <w:b/>
          <w:bCs/>
          <w:sz w:val="26"/>
          <w:szCs w:val="26"/>
        </w:rPr>
        <w:t>DA VERİLECEKTİR</w:t>
      </w:r>
    </w:p>
    <w:p w14:paraId="22F5183E" w14:textId="290D557F" w:rsidR="0050763B" w:rsidRPr="0050763B" w:rsidRDefault="0050763B" w:rsidP="00B634C1">
      <w:pPr>
        <w:jc w:val="both"/>
      </w:pPr>
      <w:r w:rsidRPr="0050763B">
        <w:t>25.04.2025 tarihinde Dijital Vergi Dairesi’nde yapılan duyuru aynen aşağıdaki gibidir:</w:t>
      </w:r>
    </w:p>
    <w:p w14:paraId="3B492F5D" w14:textId="77777777" w:rsidR="0050763B" w:rsidRPr="0050763B" w:rsidRDefault="0050763B" w:rsidP="0050763B">
      <w:pPr>
        <w:shd w:val="clear" w:color="auto" w:fill="F2F2F2" w:themeFill="background1" w:themeFillShade="F2"/>
        <w:jc w:val="both"/>
        <w:rPr>
          <w:i/>
          <w:iCs/>
          <w:sz w:val="20"/>
          <w:szCs w:val="20"/>
        </w:rPr>
      </w:pPr>
      <w:r w:rsidRPr="0050763B">
        <w:rPr>
          <w:i/>
          <w:iCs/>
          <w:sz w:val="20"/>
          <w:szCs w:val="20"/>
        </w:rPr>
        <w:t>“Gelir İdaresi Başkanlığı olarak, mükelleflerimize beyanname alınması işlemlerinde daha kaliteli hizmet sunmak, teknolojik yeniliklere uyum sağlamak ve beyannamelerin daha hızlı, kesintisiz ve güvenli bir şekilde sunulmasını sağlamak amacıyla başlatılan “e-Beyan” projesi kapsamında Damga Vergisi ve 1 Sayılı Katma Değer Vergisi (KDV) Beyannamelerinin e-Beyan Test ortamında kullanıcıların test edebilmesi için erişime açıldığı 10/1/2025 tarihinde duyurulmuştur.</w:t>
      </w:r>
    </w:p>
    <w:p w14:paraId="12E4778B" w14:textId="02F121DB" w:rsidR="0050763B" w:rsidRPr="0050763B" w:rsidRDefault="0050763B" w:rsidP="0050763B">
      <w:pPr>
        <w:shd w:val="clear" w:color="auto" w:fill="F2F2F2" w:themeFill="background1" w:themeFillShade="F2"/>
        <w:jc w:val="both"/>
        <w:rPr>
          <w:i/>
          <w:iCs/>
          <w:sz w:val="20"/>
          <w:szCs w:val="20"/>
        </w:rPr>
      </w:pPr>
      <w:r w:rsidRPr="0050763B">
        <w:rPr>
          <w:i/>
          <w:iCs/>
          <w:sz w:val="20"/>
          <w:szCs w:val="20"/>
        </w:rPr>
        <w:t> Damga Vergisi Beyannamesinin 1/6/2025 tarihinden (Mayıs/2025 döneminden) itibaren yeni e-Beyan sisteminden alınmasına karar verilmiştir. Damga Vergisi mükellefiyeti açık olan mükelleflerimiz Dijital Vergi Dairesinden “e-Beyan Test” ortamına erişerek yeni beyannameyi test amaçlı kullanabilirler. Test işlemleri ile ilgili ayrıntılı bilgiye </w:t>
      </w:r>
      <w:hyperlink r:id="rId7" w:anchor="4/807" w:history="1">
        <w:r w:rsidRPr="0050763B">
          <w:rPr>
            <w:rStyle w:val="Kpr"/>
            <w:i/>
            <w:iCs/>
            <w:color w:val="auto"/>
            <w:sz w:val="20"/>
            <w:szCs w:val="20"/>
            <w:u w:val="none"/>
          </w:rPr>
          <w:t>https://dijital.gib.gov.tr/duyurular#4/807</w:t>
        </w:r>
      </w:hyperlink>
      <w:r w:rsidRPr="0050763B">
        <w:rPr>
          <w:i/>
          <w:iCs/>
          <w:sz w:val="20"/>
          <w:szCs w:val="20"/>
        </w:rPr>
        <w:t> adresinden erişilebilmektedir.</w:t>
      </w:r>
    </w:p>
    <w:p w14:paraId="39594222" w14:textId="63ED189B" w:rsidR="0050763B" w:rsidRPr="0050763B" w:rsidRDefault="0050763B" w:rsidP="0050763B">
      <w:pPr>
        <w:shd w:val="clear" w:color="auto" w:fill="F2F2F2" w:themeFill="background1" w:themeFillShade="F2"/>
        <w:jc w:val="both"/>
        <w:rPr>
          <w:b/>
          <w:bCs/>
          <w:i/>
          <w:iCs/>
          <w:sz w:val="20"/>
          <w:szCs w:val="20"/>
        </w:rPr>
      </w:pPr>
      <w:r w:rsidRPr="0050763B">
        <w:rPr>
          <w:b/>
          <w:bCs/>
          <w:i/>
          <w:iCs/>
          <w:sz w:val="20"/>
          <w:szCs w:val="20"/>
        </w:rPr>
        <w:t>Mükelleflerimizin 1/6/2025 tarihinden itibaren Mayıs/2025 vergilendirme dönemine ilişkin Damga Vergisi Beyannamelerini yeni e-Beyan sistemi üzerinden verecek şekilde hazırlıklarını tamamlaması önem arz etmektedir.”</w:t>
      </w:r>
    </w:p>
    <w:p w14:paraId="6A40D312" w14:textId="77777777" w:rsidR="0050763B" w:rsidRDefault="0050763B">
      <w:pPr>
        <w:rPr>
          <w:b/>
          <w:bCs/>
          <w:sz w:val="26"/>
          <w:szCs w:val="26"/>
        </w:rPr>
      </w:pPr>
    </w:p>
    <w:p w14:paraId="075ED038" w14:textId="06E64799" w:rsidR="0050763B" w:rsidRDefault="00976E6B" w:rsidP="00976E6B">
      <w:pPr>
        <w:jc w:val="both"/>
        <w:rPr>
          <w:b/>
          <w:bCs/>
          <w:sz w:val="26"/>
          <w:szCs w:val="26"/>
        </w:rPr>
      </w:pPr>
      <w:r>
        <w:rPr>
          <w:b/>
          <w:bCs/>
          <w:sz w:val="26"/>
          <w:szCs w:val="26"/>
        </w:rPr>
        <w:t>III- ULUSAL TAŞIT TANIMA SİSTEMİ (UTTS) UYGULAMASINA İLİŞKİN SÜRE UZATILMIŞTIR</w:t>
      </w:r>
    </w:p>
    <w:p w14:paraId="2647B6D3" w14:textId="76A01C20" w:rsidR="00976E6B" w:rsidRPr="00976E6B" w:rsidRDefault="00976E6B" w:rsidP="00976E6B">
      <w:pPr>
        <w:jc w:val="both"/>
        <w:rPr>
          <w:sz w:val="26"/>
          <w:szCs w:val="26"/>
        </w:rPr>
      </w:pPr>
      <w:r>
        <w:rPr>
          <w:sz w:val="26"/>
          <w:szCs w:val="26"/>
        </w:rPr>
        <w:t xml:space="preserve">Gelir İdaresi Başkanlığının web sayfasında 30 Nisan 2025 tarihinde yayınlanan Duyuru ile UTTS </w:t>
      </w:r>
      <w:r w:rsidRPr="00976E6B">
        <w:rPr>
          <w:sz w:val="26"/>
          <w:szCs w:val="26"/>
        </w:rPr>
        <w:t>uygulamasına ilişkin işlemlerin tamamlanması amacıyla 30 Nisan 2025 tarihine kadar tanınmış olan süre, akaryakıt istasyonları için 2 Haziran 2025 tarihine, taşıt sahipleri için 30 Haziran 2025 tarihine uzatıl</w:t>
      </w:r>
      <w:r>
        <w:rPr>
          <w:sz w:val="26"/>
          <w:szCs w:val="26"/>
        </w:rPr>
        <w:t>mıştır</w:t>
      </w:r>
      <w:r w:rsidRPr="00976E6B">
        <w:rPr>
          <w:sz w:val="26"/>
          <w:szCs w:val="26"/>
        </w:rPr>
        <w:t>.</w:t>
      </w:r>
    </w:p>
    <w:p w14:paraId="256E1146" w14:textId="52C10B34" w:rsidR="00976E6B" w:rsidRPr="00976E6B" w:rsidRDefault="00976E6B" w:rsidP="00976E6B">
      <w:pPr>
        <w:jc w:val="both"/>
        <w:rPr>
          <w:sz w:val="26"/>
          <w:szCs w:val="26"/>
        </w:rPr>
      </w:pPr>
      <w:r w:rsidRPr="00976E6B">
        <w:rPr>
          <w:sz w:val="26"/>
          <w:szCs w:val="26"/>
        </w:rPr>
        <w:lastRenderedPageBreak/>
        <w:t>Yapılan düzenlemelerde</w:t>
      </w:r>
      <w:r>
        <w:rPr>
          <w:sz w:val="26"/>
          <w:szCs w:val="26"/>
        </w:rPr>
        <w:t>,</w:t>
      </w:r>
      <w:r w:rsidRPr="00976E6B">
        <w:rPr>
          <w:sz w:val="26"/>
          <w:szCs w:val="26"/>
        </w:rPr>
        <w:t xml:space="preserve"> </w:t>
      </w:r>
      <w:r>
        <w:rPr>
          <w:sz w:val="26"/>
          <w:szCs w:val="26"/>
        </w:rPr>
        <w:t>v</w:t>
      </w:r>
      <w:r w:rsidRPr="00976E6B">
        <w:rPr>
          <w:sz w:val="26"/>
          <w:szCs w:val="26"/>
        </w:rPr>
        <w:t>ergi mükelleflerinin kiralama yoluyla edindikleri veya işletmeye dâhil olan ve işte kullanılan taşıtları için Sistemin 1 Mayıs 2025 tarihinden itibaren kullanılmaya başlanılması gerekiyordu.</w:t>
      </w:r>
    </w:p>
    <w:p w14:paraId="0A995F68" w14:textId="77777777" w:rsidR="00976E6B" w:rsidRPr="00976E6B" w:rsidRDefault="00976E6B" w:rsidP="00976E6B">
      <w:pPr>
        <w:jc w:val="both"/>
        <w:rPr>
          <w:sz w:val="26"/>
          <w:szCs w:val="26"/>
        </w:rPr>
      </w:pPr>
      <w:r w:rsidRPr="00976E6B">
        <w:rPr>
          <w:sz w:val="26"/>
          <w:szCs w:val="26"/>
        </w:rPr>
        <w:t>Bu kapsamda, 31 Ocak 2025 tarihine kadar utts.gov.tr adresinden gerekli başvuru ve kayıt işlemlerinin yapılması şartıyla, 30 Nisan 2025 tarihine kadar;</w:t>
      </w:r>
    </w:p>
    <w:p w14:paraId="38EDDC5E" w14:textId="6F145A70" w:rsidR="00976E6B" w:rsidRPr="00976E6B" w:rsidRDefault="00976E6B" w:rsidP="00976E6B">
      <w:pPr>
        <w:jc w:val="both"/>
        <w:rPr>
          <w:sz w:val="26"/>
          <w:szCs w:val="26"/>
        </w:rPr>
      </w:pPr>
      <w:r>
        <w:rPr>
          <w:sz w:val="26"/>
          <w:szCs w:val="26"/>
        </w:rPr>
        <w:t>-</w:t>
      </w:r>
      <w:r w:rsidRPr="00976E6B">
        <w:rPr>
          <w:sz w:val="26"/>
          <w:szCs w:val="26"/>
        </w:rPr>
        <w:t>söz konusu taşıtlara Taşıt Tanıma Birimi (TTB),</w:t>
      </w:r>
    </w:p>
    <w:p w14:paraId="64B7952F" w14:textId="6A260E53" w:rsidR="00976E6B" w:rsidRDefault="00976E6B" w:rsidP="00976E6B">
      <w:pPr>
        <w:jc w:val="both"/>
        <w:rPr>
          <w:sz w:val="26"/>
          <w:szCs w:val="26"/>
        </w:rPr>
      </w:pPr>
      <w:r>
        <w:rPr>
          <w:sz w:val="26"/>
          <w:szCs w:val="26"/>
        </w:rPr>
        <w:t>-</w:t>
      </w:r>
      <w:r w:rsidRPr="00976E6B">
        <w:rPr>
          <w:sz w:val="26"/>
          <w:szCs w:val="26"/>
        </w:rPr>
        <w:t>akaryakıt istasyonlarında pompa tabancılarına Taşıt Tanıma Okuyucu Cihazı (TTO) ve istasyonlara TTB, TTO ve yeni nesil ödeme kaydedici cihazlar arasındaki iletişimi sağlayan Tabanca İletişim Modülünün (TİM),</w:t>
      </w:r>
      <w:r>
        <w:rPr>
          <w:sz w:val="26"/>
          <w:szCs w:val="26"/>
        </w:rPr>
        <w:t xml:space="preserve"> </w:t>
      </w:r>
      <w:r w:rsidRPr="00976E6B">
        <w:rPr>
          <w:sz w:val="26"/>
          <w:szCs w:val="26"/>
        </w:rPr>
        <w:t>takılması ve kullanılmaya başlanılması gerekiyordu.</w:t>
      </w:r>
    </w:p>
    <w:p w14:paraId="1FFF6AE9" w14:textId="1A10E13A" w:rsidR="00976E6B" w:rsidRPr="00976E6B" w:rsidRDefault="00976E6B" w:rsidP="00976E6B">
      <w:pPr>
        <w:jc w:val="both"/>
        <w:rPr>
          <w:sz w:val="26"/>
          <w:szCs w:val="26"/>
        </w:rPr>
      </w:pPr>
      <w:r w:rsidRPr="00976E6B">
        <w:rPr>
          <w:sz w:val="26"/>
          <w:szCs w:val="26"/>
        </w:rPr>
        <w:t>Yapılan duyuru ile, TTO, TTB ve diğer donanımlara ilişkin olarak 31 Ocak 2025 tarihine kadar utts.gov.tr adresinden yapılması gereken başvuru ve kayıt işlemlerine ilişkin süre </w:t>
      </w:r>
      <w:r w:rsidRPr="00976E6B">
        <w:rPr>
          <w:b/>
          <w:bCs/>
          <w:sz w:val="26"/>
          <w:szCs w:val="26"/>
        </w:rPr>
        <w:t>2 Haziran 2025 tarihine</w:t>
      </w:r>
      <w:r>
        <w:rPr>
          <w:b/>
          <w:bCs/>
          <w:sz w:val="26"/>
          <w:szCs w:val="26"/>
        </w:rPr>
        <w:t xml:space="preserve"> uzatıldı.</w:t>
      </w:r>
    </w:p>
    <w:p w14:paraId="24B52751" w14:textId="7C3A0A1D" w:rsidR="00976E6B" w:rsidRPr="00976E6B" w:rsidRDefault="00976E6B" w:rsidP="00976E6B">
      <w:pPr>
        <w:jc w:val="both"/>
        <w:rPr>
          <w:sz w:val="26"/>
          <w:szCs w:val="26"/>
        </w:rPr>
      </w:pPr>
      <w:r w:rsidRPr="00976E6B">
        <w:rPr>
          <w:sz w:val="26"/>
          <w:szCs w:val="26"/>
        </w:rPr>
        <w:t>Ayrıca TTO, TİM ve TTB’lere yönelik olarak yapılması gereken montaj, kullanım vb. işlemlere ilişkin olarak belirlenmiş olan 30 Nisan 2025 tarihi ise, akaryakıt istasyonu işleten mükelleflere ilişkin işlemler (taktırma/montaj ve kullanma) yönünden </w:t>
      </w:r>
      <w:r w:rsidRPr="00976E6B">
        <w:rPr>
          <w:b/>
          <w:bCs/>
          <w:sz w:val="26"/>
          <w:szCs w:val="26"/>
        </w:rPr>
        <w:t>2 Haziran 2025 tarihine</w:t>
      </w:r>
      <w:r w:rsidRPr="00976E6B">
        <w:rPr>
          <w:sz w:val="26"/>
          <w:szCs w:val="26"/>
        </w:rPr>
        <w:t>, taşıt sahiplerine ilişkin işlemler (taktırma/montaj ve kullanma) yönünden </w:t>
      </w:r>
      <w:r w:rsidRPr="00976E6B">
        <w:rPr>
          <w:b/>
          <w:bCs/>
          <w:sz w:val="26"/>
          <w:szCs w:val="26"/>
        </w:rPr>
        <w:t>30 Haziran 2025</w:t>
      </w:r>
      <w:r w:rsidRPr="00976E6B">
        <w:rPr>
          <w:sz w:val="26"/>
          <w:szCs w:val="26"/>
        </w:rPr>
        <w:t> </w:t>
      </w:r>
      <w:r w:rsidRPr="00976E6B">
        <w:rPr>
          <w:b/>
          <w:bCs/>
          <w:sz w:val="26"/>
          <w:szCs w:val="26"/>
        </w:rPr>
        <w:t>tarihine</w:t>
      </w:r>
      <w:r w:rsidRPr="00976E6B">
        <w:rPr>
          <w:sz w:val="26"/>
          <w:szCs w:val="26"/>
        </w:rPr>
        <w:t> uzatıldı.</w:t>
      </w:r>
    </w:p>
    <w:p w14:paraId="1BEA25D6" w14:textId="77777777" w:rsidR="00976E6B" w:rsidRPr="00976E6B" w:rsidRDefault="00976E6B" w:rsidP="00976E6B">
      <w:pPr>
        <w:jc w:val="both"/>
        <w:rPr>
          <w:sz w:val="26"/>
          <w:szCs w:val="26"/>
        </w:rPr>
      </w:pPr>
    </w:p>
    <w:p w14:paraId="6F44DC08" w14:textId="01E2D0E8" w:rsidR="00CB7ACC" w:rsidRPr="00CB7ACC" w:rsidRDefault="00CB7ACC" w:rsidP="003B1CAE">
      <w:pPr>
        <w:jc w:val="both"/>
        <w:rPr>
          <w:b/>
          <w:bCs/>
          <w:sz w:val="26"/>
          <w:szCs w:val="26"/>
        </w:rPr>
      </w:pPr>
      <w:r w:rsidRPr="00CB7ACC">
        <w:rPr>
          <w:b/>
          <w:bCs/>
          <w:sz w:val="26"/>
          <w:szCs w:val="26"/>
        </w:rPr>
        <w:t>I</w:t>
      </w:r>
      <w:r w:rsidR="00976E6B">
        <w:rPr>
          <w:b/>
          <w:bCs/>
          <w:sz w:val="26"/>
          <w:szCs w:val="26"/>
        </w:rPr>
        <w:t>V</w:t>
      </w:r>
      <w:r w:rsidRPr="00CB7ACC">
        <w:rPr>
          <w:b/>
          <w:bCs/>
          <w:sz w:val="26"/>
          <w:szCs w:val="26"/>
        </w:rPr>
        <w:t xml:space="preserve">- 2006/10731 SAYILI BAKANLAR KURULU KARARI’NIN </w:t>
      </w:r>
      <w:r>
        <w:rPr>
          <w:b/>
          <w:bCs/>
          <w:sz w:val="26"/>
          <w:szCs w:val="26"/>
        </w:rPr>
        <w:t>G</w:t>
      </w:r>
      <w:r w:rsidRPr="00CB7ACC">
        <w:rPr>
          <w:b/>
          <w:bCs/>
          <w:sz w:val="26"/>
          <w:szCs w:val="26"/>
        </w:rPr>
        <w:t>EÇİCİ 4. MADDESİNDEKİ SÜRE UZATILMIŞTIR</w:t>
      </w:r>
    </w:p>
    <w:p w14:paraId="6D188179" w14:textId="744FEFC0" w:rsidR="00CB7ACC" w:rsidRDefault="0054559F" w:rsidP="0054559F">
      <w:pPr>
        <w:jc w:val="both"/>
      </w:pPr>
      <w:r>
        <w:t xml:space="preserve">01.05.2025 tarihli ve 32887 sayılı Resmî </w:t>
      </w:r>
      <w:proofErr w:type="spellStart"/>
      <w:r>
        <w:t>Gazete’de</w:t>
      </w:r>
      <w:proofErr w:type="spellEnd"/>
      <w:r>
        <w:t xml:space="preserve"> yayımlanan 9769 sayılı Cumhurbaşkanı Kararı ile </w:t>
      </w:r>
      <w:r w:rsidR="00CB7ACC" w:rsidRPr="00CB7ACC">
        <w:t>Gelir Vergisi Kanunu</w:t>
      </w:r>
      <w:r w:rsidR="00CB7ACC">
        <w:t>’</w:t>
      </w:r>
      <w:r w:rsidR="00CB7ACC" w:rsidRPr="00CB7ACC">
        <w:t>nun geçici 67</w:t>
      </w:r>
      <w:r w:rsidR="00CB7ACC">
        <w:t>’</w:t>
      </w:r>
      <w:r w:rsidR="00CB7ACC" w:rsidRPr="00CB7ACC">
        <w:t>nci maddesinde yer alan bazı kazanç ve iratlardan yapılacak tevkifat oranları</w:t>
      </w:r>
      <w:r w:rsidR="00CB7ACC">
        <w:t>nı belirleyen 2006/10731 sayılı Bakanlar Kurulu Kararı’nın geçici 4. maddesinde yer alan 30.04.2025 tarihi 31.07.2025 olarak değiştirilmiştir. Söz konusu geçici 4. maddenin son hali aşağıdaki gibidir:</w:t>
      </w:r>
    </w:p>
    <w:p w14:paraId="1165997A" w14:textId="7A45BF00" w:rsidR="00CB7ACC" w:rsidRPr="00CB7ACC" w:rsidRDefault="00CB7ACC" w:rsidP="00CB7ACC">
      <w:pPr>
        <w:shd w:val="clear" w:color="auto" w:fill="F2F2F2" w:themeFill="background1" w:themeFillShade="F2"/>
        <w:jc w:val="both"/>
        <w:rPr>
          <w:i/>
          <w:iCs/>
          <w:sz w:val="20"/>
          <w:szCs w:val="20"/>
        </w:rPr>
      </w:pPr>
      <w:r w:rsidRPr="00CB7ACC">
        <w:rPr>
          <w:i/>
          <w:iCs/>
          <w:sz w:val="20"/>
          <w:szCs w:val="20"/>
        </w:rPr>
        <w:t xml:space="preserve">“Geçici Madde 4- Bu maddenin yürürlüğe girdiği tarih ile </w:t>
      </w:r>
      <w:r w:rsidRPr="00CB7ACC">
        <w:rPr>
          <w:b/>
          <w:bCs/>
          <w:i/>
          <w:iCs/>
          <w:sz w:val="20"/>
          <w:szCs w:val="20"/>
        </w:rPr>
        <w:t>31/7/2025</w:t>
      </w:r>
      <w:bookmarkStart w:id="0" w:name="_ednref61"/>
      <w:r w:rsidRPr="00CB7ACC">
        <w:rPr>
          <w:b/>
          <w:bCs/>
          <w:i/>
          <w:iCs/>
          <w:sz w:val="20"/>
          <w:szCs w:val="20"/>
        </w:rPr>
        <w:fldChar w:fldCharType="begin"/>
      </w:r>
      <w:r w:rsidRPr="00CB7ACC">
        <w:rPr>
          <w:b/>
          <w:bCs/>
          <w:i/>
          <w:iCs/>
          <w:sz w:val="20"/>
          <w:szCs w:val="20"/>
        </w:rPr>
        <w:instrText>HYPERLINK "https://gib.gov.tr/gibmevzuat" \l "_edn61" \o ""</w:instrText>
      </w:r>
      <w:r w:rsidRPr="00CB7ACC">
        <w:rPr>
          <w:b/>
          <w:bCs/>
          <w:i/>
          <w:iCs/>
          <w:sz w:val="20"/>
          <w:szCs w:val="20"/>
        </w:rPr>
      </w:r>
      <w:r w:rsidRPr="00CB7ACC">
        <w:rPr>
          <w:b/>
          <w:bCs/>
          <w:i/>
          <w:iCs/>
          <w:sz w:val="20"/>
          <w:szCs w:val="20"/>
        </w:rPr>
        <w:fldChar w:fldCharType="separate"/>
      </w:r>
      <w:r w:rsidRPr="00CB7ACC">
        <w:rPr>
          <w:b/>
          <w:bCs/>
          <w:i/>
          <w:iCs/>
          <w:sz w:val="20"/>
          <w:szCs w:val="20"/>
        </w:rPr>
        <w:fldChar w:fldCharType="end"/>
      </w:r>
      <w:bookmarkEnd w:id="0"/>
      <w:r w:rsidRPr="00CB7ACC">
        <w:rPr>
          <w:b/>
          <w:bCs/>
          <w:i/>
          <w:iCs/>
          <w:sz w:val="20"/>
          <w:szCs w:val="20"/>
        </w:rPr>
        <w:t> tarihi</w:t>
      </w:r>
      <w:r w:rsidRPr="00CB7ACC">
        <w:rPr>
          <w:i/>
          <w:iCs/>
          <w:sz w:val="20"/>
          <w:szCs w:val="20"/>
        </w:rPr>
        <w:t xml:space="preserve"> (bu tarih dâhil) arasında iktisap edilen,  Hazine ve Maliye Bakanlığı</w:t>
      </w:r>
      <w:r>
        <w:rPr>
          <w:i/>
          <w:iCs/>
          <w:sz w:val="20"/>
          <w:szCs w:val="20"/>
        </w:rPr>
        <w:t>’</w:t>
      </w:r>
      <w:r w:rsidRPr="00CB7ACC">
        <w:rPr>
          <w:i/>
          <w:iCs/>
          <w:sz w:val="20"/>
          <w:szCs w:val="20"/>
        </w:rPr>
        <w:t>nca ihraç edilen Devlet tahvili ve Hazine bonolarından elde edilen gelir ve kazançlar ile 4749 sayılı Kamu Finansmanı ve Borç Yönetiminin Düzenlenmesi Hakkında Kanun uyarınca kurulan varlık kiralama şirketleri tarafından ihraç edilen kira sertifikalarından elde edilen gelir ve kazançlara, bu Kararın 1</w:t>
      </w:r>
      <w:r>
        <w:rPr>
          <w:i/>
          <w:iCs/>
          <w:sz w:val="20"/>
          <w:szCs w:val="20"/>
        </w:rPr>
        <w:t>’</w:t>
      </w:r>
      <w:r w:rsidRPr="00CB7ACC">
        <w:rPr>
          <w:i/>
          <w:iCs/>
          <w:sz w:val="20"/>
          <w:szCs w:val="20"/>
        </w:rPr>
        <w:t xml:space="preserve"> inci maddesinin birinci fıkrasının (a) bendinin (1) ve (3) numaralı alt bentleri ile (ç) bendinde yer alan oranlar %0 uygulanır.”</w:t>
      </w:r>
    </w:p>
    <w:p w14:paraId="4FCE7033" w14:textId="77777777" w:rsidR="00CB7ACC" w:rsidRDefault="00CB7ACC"/>
    <w:p w14:paraId="27E0C639" w14:textId="77777777" w:rsidR="00B7385F" w:rsidRDefault="00B7385F"/>
    <w:p w14:paraId="1674C40F" w14:textId="77777777" w:rsidR="00B7385F" w:rsidRDefault="00B7385F"/>
    <w:p w14:paraId="38CCB0B4" w14:textId="77777777" w:rsidR="00B7385F" w:rsidRDefault="00B7385F"/>
    <w:p w14:paraId="5B1B0481" w14:textId="219C6B85" w:rsidR="00CB7ACC" w:rsidRPr="00CB7ACC" w:rsidRDefault="00976E6B">
      <w:pPr>
        <w:rPr>
          <w:b/>
          <w:bCs/>
          <w:sz w:val="26"/>
          <w:szCs w:val="26"/>
        </w:rPr>
      </w:pPr>
      <w:r>
        <w:rPr>
          <w:b/>
          <w:bCs/>
          <w:sz w:val="26"/>
          <w:szCs w:val="26"/>
        </w:rPr>
        <w:t>V</w:t>
      </w:r>
      <w:r w:rsidR="00CB7ACC" w:rsidRPr="00CB7ACC">
        <w:rPr>
          <w:b/>
          <w:bCs/>
          <w:sz w:val="26"/>
          <w:szCs w:val="26"/>
        </w:rPr>
        <w:t>- KATMA DEĞER VERGİSİ KANUNU’NUN GEÇİCİ 37. MADDESİNDEKİ SÜRE 31.12.2028 TARİHİNE KADAR UZATILMIŞTIR</w:t>
      </w:r>
    </w:p>
    <w:p w14:paraId="4E511E05" w14:textId="6CEFC4FB" w:rsidR="00CB7ACC" w:rsidRDefault="00CB7ACC" w:rsidP="00717298">
      <w:pPr>
        <w:jc w:val="both"/>
      </w:pPr>
      <w:r>
        <w:t>01.05.2025 tarihli ve 32887 sayılı Resm</w:t>
      </w:r>
      <w:r w:rsidR="00E7754A">
        <w:t>î</w:t>
      </w:r>
      <w:r>
        <w:t xml:space="preserve"> </w:t>
      </w:r>
      <w:proofErr w:type="spellStart"/>
      <w:r>
        <w:t>Gazete’de</w:t>
      </w:r>
      <w:proofErr w:type="spellEnd"/>
      <w:r>
        <w:t xml:space="preserve"> yayımlanan 9770 sayılı Cumhurbaşkanı Kararı ile Katma Değer Vergisi Kanunu’nun geçi 37. maddesinin 1. fıkrasında yer alan </w:t>
      </w:r>
      <w:r w:rsidR="00E7754A">
        <w:t>31.12.2025 tarihi 31.12.2028 olarak değiştirilmiştir. Söz konusu maddenin son hali aşağıdaki gibidir:</w:t>
      </w:r>
    </w:p>
    <w:p w14:paraId="71858078" w14:textId="0171D800" w:rsidR="00E7754A" w:rsidRPr="00E7754A" w:rsidRDefault="00E7754A" w:rsidP="00E7754A">
      <w:pPr>
        <w:shd w:val="clear" w:color="auto" w:fill="F2F2F2" w:themeFill="background1" w:themeFillShade="F2"/>
        <w:jc w:val="both"/>
        <w:rPr>
          <w:i/>
          <w:iCs/>
          <w:sz w:val="20"/>
          <w:szCs w:val="20"/>
        </w:rPr>
      </w:pPr>
      <w:r w:rsidRPr="00E7754A">
        <w:rPr>
          <w:i/>
          <w:iCs/>
          <w:sz w:val="20"/>
          <w:szCs w:val="20"/>
        </w:rPr>
        <w:t xml:space="preserve">“Geçici Madde 37- İmalat sanayii ile turizme yönelik yatırım teşvik belgesi sahibi mükelleflere belge kapsamındaki inşaat işlerine ilişkin mal teslimleri ve hizmet ifaları </w:t>
      </w:r>
      <w:r w:rsidRPr="00E7754A">
        <w:rPr>
          <w:b/>
          <w:bCs/>
          <w:i/>
          <w:iCs/>
          <w:sz w:val="20"/>
          <w:szCs w:val="20"/>
        </w:rPr>
        <w:t>31/12/2028</w:t>
      </w:r>
      <w:r w:rsidRPr="00E7754A">
        <w:rPr>
          <w:i/>
          <w:iCs/>
          <w:sz w:val="20"/>
          <w:szCs w:val="20"/>
        </w:rPr>
        <w:t xml:space="preserve"> tarihine kadar katma değer vergisinden müstesnadır.</w:t>
      </w:r>
    </w:p>
    <w:p w14:paraId="299E79DA" w14:textId="77777777" w:rsidR="00E7754A" w:rsidRPr="00E7754A" w:rsidRDefault="00E7754A" w:rsidP="00E7754A">
      <w:pPr>
        <w:shd w:val="clear" w:color="auto" w:fill="F2F2F2" w:themeFill="background1" w:themeFillShade="F2"/>
        <w:jc w:val="both"/>
        <w:rPr>
          <w:i/>
          <w:iCs/>
          <w:sz w:val="20"/>
          <w:szCs w:val="20"/>
        </w:rPr>
      </w:pPr>
      <w:r w:rsidRPr="00E7754A">
        <w:rPr>
          <w:i/>
          <w:iCs/>
          <w:sz w:val="20"/>
          <w:szCs w:val="20"/>
        </w:rPr>
        <w:t xml:space="preserve">Teşvik belgesine konu yatırımın tamamlanmaması halinde, zamanında alınmayan vergiler, vergi </w:t>
      </w:r>
      <w:proofErr w:type="spellStart"/>
      <w:r w:rsidRPr="00E7754A">
        <w:rPr>
          <w:i/>
          <w:iCs/>
          <w:sz w:val="20"/>
          <w:szCs w:val="20"/>
        </w:rPr>
        <w:t>ziyaı</w:t>
      </w:r>
      <w:proofErr w:type="spellEnd"/>
      <w:r w:rsidRPr="00E7754A">
        <w:rPr>
          <w:i/>
          <w:iCs/>
          <w:sz w:val="20"/>
          <w:szCs w:val="20"/>
        </w:rPr>
        <w:t xml:space="preserve"> cezası uygulanarak gecikme faizi ile birlikte yatırım teşvik belgesi sahibi alıcıdan tahsil edilir. Bu vergiler ve cezalarda zamanaşımı, verginin tarhını veya cezanın kesilmesini gerektiren durumun meydana geldiği tarihi takip eden takvim yılı başından başlar.</w:t>
      </w:r>
    </w:p>
    <w:p w14:paraId="3FB55638" w14:textId="095E3BCF" w:rsidR="00E7754A" w:rsidRPr="00E7754A" w:rsidRDefault="00E7754A" w:rsidP="00E7754A">
      <w:pPr>
        <w:shd w:val="clear" w:color="auto" w:fill="F2F2F2" w:themeFill="background1" w:themeFillShade="F2"/>
        <w:jc w:val="both"/>
        <w:rPr>
          <w:i/>
          <w:iCs/>
          <w:sz w:val="20"/>
          <w:szCs w:val="20"/>
        </w:rPr>
      </w:pPr>
      <w:r w:rsidRPr="00E7754A">
        <w:rPr>
          <w:i/>
          <w:iCs/>
          <w:sz w:val="20"/>
          <w:szCs w:val="20"/>
        </w:rPr>
        <w:t>Bu kapsamda yapılan mal teslimleri ve hizmet ifaları nedeniyle yüklenilen vergiler, vergiye tabi işlemler üzerinden hesaplanan vergiden indirilir. İndirim yoluyla telafi edilemeyen vergiler, bu Kanunun 32’nci maddesi hükmü uyarınca istisna kapsamında işlem yapan mükellefin talebi üzerine iade edilir.</w:t>
      </w:r>
    </w:p>
    <w:p w14:paraId="2AB97AC3" w14:textId="04CDC0AB" w:rsidR="00E7754A" w:rsidRPr="00E7754A" w:rsidRDefault="00E7754A" w:rsidP="00E7754A">
      <w:pPr>
        <w:shd w:val="clear" w:color="auto" w:fill="F2F2F2" w:themeFill="background1" w:themeFillShade="F2"/>
        <w:rPr>
          <w:i/>
          <w:iCs/>
          <w:sz w:val="20"/>
          <w:szCs w:val="20"/>
        </w:rPr>
      </w:pPr>
      <w:r w:rsidRPr="00E7754A">
        <w:rPr>
          <w:i/>
          <w:iCs/>
          <w:sz w:val="20"/>
          <w:szCs w:val="20"/>
        </w:rPr>
        <w:t>Cumhurbaşkanı, birinci fıkrada yer alan süreyi üç yıla kadar uzatmaya; Hazine ve Maliye Bakanlığı, bu maddenin uygulanmasına ilişkin usul ve esasları belirlemeye yetkilidir.”</w:t>
      </w:r>
    </w:p>
    <w:p w14:paraId="14B645DE" w14:textId="77777777" w:rsidR="00E7754A" w:rsidRPr="00E7754A" w:rsidRDefault="00E7754A" w:rsidP="00E7754A"/>
    <w:p w14:paraId="084E1C34" w14:textId="01EE7B18" w:rsidR="00E7754A" w:rsidRPr="00E02A26" w:rsidRDefault="00E02A26" w:rsidP="003B1CAE">
      <w:pPr>
        <w:jc w:val="both"/>
        <w:rPr>
          <w:b/>
          <w:bCs/>
          <w:sz w:val="26"/>
          <w:szCs w:val="26"/>
        </w:rPr>
      </w:pPr>
      <w:r w:rsidRPr="00E02A26">
        <w:rPr>
          <w:b/>
          <w:bCs/>
          <w:sz w:val="26"/>
          <w:szCs w:val="26"/>
        </w:rPr>
        <w:t>V</w:t>
      </w:r>
      <w:r w:rsidR="00976E6B">
        <w:rPr>
          <w:b/>
          <w:bCs/>
          <w:sz w:val="26"/>
          <w:szCs w:val="26"/>
        </w:rPr>
        <w:t>I</w:t>
      </w:r>
      <w:r w:rsidRPr="00E02A26">
        <w:rPr>
          <w:b/>
          <w:bCs/>
          <w:sz w:val="26"/>
          <w:szCs w:val="26"/>
        </w:rPr>
        <w:t>- BAĞIMSIZ DENETİME TABİ ŞİRKETLERİN BELİRLENMESİNDEKİ KRİTERLER DEĞİŞMİŞTİR</w:t>
      </w:r>
    </w:p>
    <w:p w14:paraId="365D0EAC" w14:textId="2BF4B509" w:rsidR="00E02A26" w:rsidRDefault="00E02A26" w:rsidP="00697383">
      <w:pPr>
        <w:jc w:val="both"/>
      </w:pPr>
      <w:r>
        <w:t xml:space="preserve">01.05.2025 tarihli ve 32887 sayılı Resmî </w:t>
      </w:r>
      <w:proofErr w:type="spellStart"/>
      <w:r>
        <w:t>Gazete’de</w:t>
      </w:r>
      <w:proofErr w:type="spellEnd"/>
      <w:r>
        <w:t xml:space="preserve"> yayımlanan 9774 sayılı Cumhurbaşkanı Kararı ile “Bağımsız Denetime Tabi Şirketlerin Belirlenmesine Dair Kararda Değişiklik Yapılmasına Dair Karar” yürürlüğe konulmuştur. Söz konusu Karar uyarınca </w:t>
      </w:r>
      <w:r w:rsidR="0095428F">
        <w:t xml:space="preserve">29.12.2022 tarihli ve 6434 sayılı Cumhurbaşkanı Kararı ile yürürlüğe giren </w:t>
      </w:r>
      <w:r>
        <w:t>Bağımsız Denetime Tabi Şirketlerin Belirlenmesine Dair Kararda Değişiklik Yapılmasına Dair Karar’ın 3. maddesinin 1. fıkrasının (b) bendinin 2. ve 3 numaralı alt bentleri aşağıdaki gibi değiştirilmiştir:</w:t>
      </w:r>
    </w:p>
    <w:p w14:paraId="34992230" w14:textId="5514D59E" w:rsidR="00697383" w:rsidRPr="00697383" w:rsidRDefault="00697383" w:rsidP="00697383">
      <w:pPr>
        <w:shd w:val="clear" w:color="auto" w:fill="F2F2F2" w:themeFill="background1" w:themeFillShade="F2"/>
        <w:rPr>
          <w:i/>
          <w:iCs/>
          <w:sz w:val="20"/>
          <w:szCs w:val="20"/>
        </w:rPr>
      </w:pPr>
      <w:r w:rsidRPr="00697383">
        <w:rPr>
          <w:i/>
          <w:iCs/>
          <w:sz w:val="20"/>
          <w:szCs w:val="20"/>
        </w:rPr>
        <w:t>“2- Ekli II sayılı listede belirtilen şirketler için eşik değerler</w:t>
      </w:r>
    </w:p>
    <w:p w14:paraId="71C1534B" w14:textId="716D40D3" w:rsidR="00697383" w:rsidRPr="00697383" w:rsidRDefault="00697383" w:rsidP="00697383">
      <w:pPr>
        <w:shd w:val="clear" w:color="auto" w:fill="F2F2F2" w:themeFill="background1" w:themeFillShade="F2"/>
        <w:rPr>
          <w:i/>
          <w:iCs/>
          <w:sz w:val="20"/>
          <w:szCs w:val="20"/>
        </w:rPr>
      </w:pPr>
      <w:r w:rsidRPr="00697383">
        <w:rPr>
          <w:i/>
          <w:iCs/>
          <w:sz w:val="20"/>
          <w:szCs w:val="20"/>
        </w:rPr>
        <w:t>i) Aktif toplamı 120 milyon Türk Lirası.</w:t>
      </w:r>
    </w:p>
    <w:p w14:paraId="20A55102" w14:textId="0F239D3A" w:rsidR="00697383" w:rsidRPr="00697383" w:rsidRDefault="00697383" w:rsidP="00697383">
      <w:pPr>
        <w:shd w:val="clear" w:color="auto" w:fill="F2F2F2" w:themeFill="background1" w:themeFillShade="F2"/>
        <w:rPr>
          <w:i/>
          <w:iCs/>
          <w:sz w:val="20"/>
          <w:szCs w:val="20"/>
        </w:rPr>
      </w:pPr>
      <w:r w:rsidRPr="00697383">
        <w:rPr>
          <w:i/>
          <w:iCs/>
          <w:sz w:val="20"/>
          <w:szCs w:val="20"/>
        </w:rPr>
        <w:t>ii) Yıllık net satış hasılatı 150 milyon Türk Lirası.</w:t>
      </w:r>
    </w:p>
    <w:p w14:paraId="0121730D" w14:textId="45DE736C" w:rsidR="00697383" w:rsidRPr="00697383" w:rsidRDefault="00697383" w:rsidP="00697383">
      <w:pPr>
        <w:shd w:val="clear" w:color="auto" w:fill="F2F2F2" w:themeFill="background1" w:themeFillShade="F2"/>
        <w:rPr>
          <w:i/>
          <w:iCs/>
          <w:sz w:val="20"/>
          <w:szCs w:val="20"/>
        </w:rPr>
      </w:pPr>
      <w:r w:rsidRPr="00697383">
        <w:rPr>
          <w:i/>
          <w:iCs/>
          <w:sz w:val="20"/>
          <w:szCs w:val="20"/>
        </w:rPr>
        <w:t>iii) Çalışan sayısı 100 kişi.</w:t>
      </w:r>
    </w:p>
    <w:p w14:paraId="2AE5CA79" w14:textId="25C0E78A" w:rsidR="00697383" w:rsidRPr="00697383" w:rsidRDefault="00697383" w:rsidP="00697383">
      <w:pPr>
        <w:shd w:val="clear" w:color="auto" w:fill="F2F2F2" w:themeFill="background1" w:themeFillShade="F2"/>
        <w:rPr>
          <w:i/>
          <w:iCs/>
          <w:sz w:val="20"/>
          <w:szCs w:val="20"/>
        </w:rPr>
      </w:pPr>
      <w:r w:rsidRPr="00697383">
        <w:rPr>
          <w:i/>
          <w:iCs/>
          <w:sz w:val="20"/>
          <w:szCs w:val="20"/>
        </w:rPr>
        <w:t xml:space="preserve">3- (1) ve (2) numaralı alt bentlerde belirtilenler kapsamında olmayan şirketler için eşik değerler: </w:t>
      </w:r>
    </w:p>
    <w:p w14:paraId="4C9560B8" w14:textId="6DF7D88A" w:rsidR="00697383" w:rsidRPr="00697383" w:rsidRDefault="00697383" w:rsidP="00697383">
      <w:pPr>
        <w:shd w:val="clear" w:color="auto" w:fill="F2F2F2" w:themeFill="background1" w:themeFillShade="F2"/>
        <w:rPr>
          <w:i/>
          <w:iCs/>
          <w:sz w:val="20"/>
          <w:szCs w:val="20"/>
        </w:rPr>
      </w:pPr>
      <w:r w:rsidRPr="00697383">
        <w:rPr>
          <w:i/>
          <w:iCs/>
          <w:sz w:val="20"/>
          <w:szCs w:val="20"/>
        </w:rPr>
        <w:t>i) Aktif toplamı 300 milyon Türk Lirası.</w:t>
      </w:r>
    </w:p>
    <w:p w14:paraId="19AC47BD" w14:textId="6EF5B1AD" w:rsidR="00697383" w:rsidRPr="00697383" w:rsidRDefault="00697383" w:rsidP="00697383">
      <w:pPr>
        <w:shd w:val="clear" w:color="auto" w:fill="F2F2F2" w:themeFill="background1" w:themeFillShade="F2"/>
        <w:rPr>
          <w:i/>
          <w:iCs/>
          <w:sz w:val="20"/>
          <w:szCs w:val="20"/>
        </w:rPr>
      </w:pPr>
      <w:r w:rsidRPr="00697383">
        <w:rPr>
          <w:i/>
          <w:iCs/>
          <w:sz w:val="20"/>
          <w:szCs w:val="20"/>
        </w:rPr>
        <w:t>ii) Yıllık net satış hasılatı 600 milyon Türk Lirası.</w:t>
      </w:r>
    </w:p>
    <w:p w14:paraId="0148EFC9" w14:textId="146A845D" w:rsidR="00697383" w:rsidRPr="00697383" w:rsidRDefault="00697383" w:rsidP="00697383">
      <w:pPr>
        <w:shd w:val="clear" w:color="auto" w:fill="F2F2F2" w:themeFill="background1" w:themeFillShade="F2"/>
        <w:rPr>
          <w:i/>
          <w:iCs/>
          <w:sz w:val="20"/>
          <w:szCs w:val="20"/>
        </w:rPr>
      </w:pPr>
      <w:r w:rsidRPr="00697383">
        <w:rPr>
          <w:i/>
          <w:iCs/>
          <w:sz w:val="20"/>
          <w:szCs w:val="20"/>
        </w:rPr>
        <w:t>iii) Çalışan sayısı 150 kişi.”</w:t>
      </w:r>
    </w:p>
    <w:p w14:paraId="3B9966E5" w14:textId="203A0F66" w:rsidR="00E02A26" w:rsidRPr="00E02A26" w:rsidRDefault="00697383">
      <w:pPr>
        <w:rPr>
          <w:b/>
          <w:bCs/>
        </w:rPr>
      </w:pPr>
      <w:r>
        <w:t xml:space="preserve">Bu Karar, şirketlerin 01.01.2025 ve sonrasında başlayan hesap dönemlerinde denetime tabi olma durumlarının belirlenmesinde esas alınmak üzere yayımı tarihinde yürürlüğe girmiştir. </w:t>
      </w:r>
    </w:p>
    <w:sectPr w:rsidR="00E02A26" w:rsidRPr="00E02A2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27FC" w14:textId="77777777" w:rsidR="00A815D4" w:rsidRDefault="00A815D4" w:rsidP="00405F7C">
      <w:pPr>
        <w:spacing w:after="0" w:line="240" w:lineRule="auto"/>
      </w:pPr>
      <w:r>
        <w:separator/>
      </w:r>
    </w:p>
  </w:endnote>
  <w:endnote w:type="continuationSeparator" w:id="0">
    <w:p w14:paraId="0C6DE90B" w14:textId="77777777" w:rsidR="00A815D4" w:rsidRDefault="00A815D4" w:rsidP="0040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3477"/>
      <w:docPartObj>
        <w:docPartGallery w:val="Page Numbers (Bottom of Page)"/>
        <w:docPartUnique/>
      </w:docPartObj>
    </w:sdtPr>
    <w:sdtEndPr/>
    <w:sdtContent>
      <w:p w14:paraId="5B0D084D" w14:textId="4AC8C215" w:rsidR="00405F7C" w:rsidRDefault="00405F7C">
        <w:pPr>
          <w:pStyle w:val="AltBilgi"/>
          <w:jc w:val="right"/>
        </w:pPr>
        <w:r>
          <w:fldChar w:fldCharType="begin"/>
        </w:r>
        <w:r>
          <w:instrText>PAGE   \* MERGEFORMAT</w:instrText>
        </w:r>
        <w:r>
          <w:fldChar w:fldCharType="separate"/>
        </w:r>
        <w:r>
          <w:t>2</w:t>
        </w:r>
        <w:r>
          <w:fldChar w:fldCharType="end"/>
        </w:r>
      </w:p>
    </w:sdtContent>
  </w:sdt>
  <w:p w14:paraId="3BBF468C" w14:textId="77777777" w:rsidR="00405F7C" w:rsidRDefault="00405F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3766" w14:textId="77777777" w:rsidR="00A815D4" w:rsidRDefault="00A815D4" w:rsidP="00405F7C">
      <w:pPr>
        <w:spacing w:after="0" w:line="240" w:lineRule="auto"/>
      </w:pPr>
      <w:r>
        <w:separator/>
      </w:r>
    </w:p>
  </w:footnote>
  <w:footnote w:type="continuationSeparator" w:id="0">
    <w:p w14:paraId="78A2F560" w14:textId="77777777" w:rsidR="00A815D4" w:rsidRDefault="00A815D4" w:rsidP="00405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0041" w14:textId="77777777" w:rsidR="00B7385F" w:rsidRPr="0033768F" w:rsidRDefault="00B7385F" w:rsidP="00B7385F">
    <w:pPr>
      <w:spacing w:after="0"/>
      <w:jc w:val="center"/>
      <w:rPr>
        <w:rFonts w:ascii="Comic Sans MS" w:hAnsi="Comic Sans MS"/>
        <w:b/>
        <w:bCs/>
        <w:color w:val="002060"/>
        <w:sz w:val="36"/>
        <w:szCs w:val="36"/>
      </w:rPr>
    </w:pPr>
    <w:r w:rsidRPr="0033768F">
      <w:rPr>
        <w:rFonts w:ascii="Comic Sans MS" w:hAnsi="Comic Sans MS"/>
        <w:b/>
        <w:bCs/>
        <w:color w:val="002060"/>
        <w:sz w:val="36"/>
        <w:szCs w:val="36"/>
      </w:rPr>
      <w:t>ATA DENETİM</w:t>
    </w:r>
  </w:p>
  <w:p w14:paraId="45599F18" w14:textId="77777777" w:rsidR="00B7385F" w:rsidRPr="0033768F" w:rsidRDefault="00B7385F" w:rsidP="00B7385F">
    <w:pPr>
      <w:pBdr>
        <w:bottom w:val="single" w:sz="18" w:space="1" w:color="auto"/>
      </w:pBdr>
      <w:spacing w:after="0"/>
      <w:jc w:val="center"/>
      <w:rPr>
        <w:rFonts w:ascii="Calibri" w:hAnsi="Calibri"/>
        <w:color w:val="002060"/>
        <w:sz w:val="28"/>
        <w:szCs w:val="28"/>
      </w:rPr>
    </w:pPr>
    <w:r w:rsidRPr="0033768F">
      <w:rPr>
        <w:rFonts w:ascii="Comic Sans MS" w:hAnsi="Comic Sans MS"/>
        <w:color w:val="002060"/>
        <w:sz w:val="28"/>
        <w:szCs w:val="28"/>
      </w:rPr>
      <w:t xml:space="preserve">           YEMİNLİ MALİ MÜŞAVİRLİK LTD.ŞTİ.</w:t>
    </w:r>
  </w:p>
  <w:p w14:paraId="56FAF5BB" w14:textId="77777777" w:rsidR="00B7385F" w:rsidRDefault="00B7385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21E"/>
    <w:multiLevelType w:val="multilevel"/>
    <w:tmpl w:val="23F4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46F0B"/>
    <w:multiLevelType w:val="multilevel"/>
    <w:tmpl w:val="9D6E1D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B377A39"/>
    <w:multiLevelType w:val="hybridMultilevel"/>
    <w:tmpl w:val="B23E8D14"/>
    <w:lvl w:ilvl="0" w:tplc="27625942">
      <w:start w:val="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A032289"/>
    <w:multiLevelType w:val="multilevel"/>
    <w:tmpl w:val="519679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16B025B"/>
    <w:multiLevelType w:val="multilevel"/>
    <w:tmpl w:val="0C9C04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31698882">
    <w:abstractNumId w:val="4"/>
  </w:num>
  <w:num w:numId="2" w16cid:durableId="630285774">
    <w:abstractNumId w:val="3"/>
  </w:num>
  <w:num w:numId="3" w16cid:durableId="1216163832">
    <w:abstractNumId w:val="1"/>
  </w:num>
  <w:num w:numId="4" w16cid:durableId="805706476">
    <w:abstractNumId w:val="0"/>
  </w:num>
  <w:num w:numId="5" w16cid:durableId="902368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BE"/>
    <w:rsid w:val="00222175"/>
    <w:rsid w:val="003B1CAE"/>
    <w:rsid w:val="00405F7C"/>
    <w:rsid w:val="004561C3"/>
    <w:rsid w:val="004A5D61"/>
    <w:rsid w:val="0050763B"/>
    <w:rsid w:val="0054559F"/>
    <w:rsid w:val="00697383"/>
    <w:rsid w:val="00717298"/>
    <w:rsid w:val="00794D3A"/>
    <w:rsid w:val="007A2087"/>
    <w:rsid w:val="0095428F"/>
    <w:rsid w:val="00976E6B"/>
    <w:rsid w:val="009B6807"/>
    <w:rsid w:val="009C5311"/>
    <w:rsid w:val="00A815D4"/>
    <w:rsid w:val="00B634C1"/>
    <w:rsid w:val="00B7385F"/>
    <w:rsid w:val="00C23507"/>
    <w:rsid w:val="00C94E0B"/>
    <w:rsid w:val="00CB7ACC"/>
    <w:rsid w:val="00D22850"/>
    <w:rsid w:val="00D747B4"/>
    <w:rsid w:val="00E02A26"/>
    <w:rsid w:val="00E7754A"/>
    <w:rsid w:val="00FE06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2E36"/>
  <w15:chartTrackingRefBased/>
  <w15:docId w15:val="{54B976CD-2DB4-40B0-AEF0-81673730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E0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E0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E06B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E06B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E06B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E06B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E06B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E06B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E06B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06B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E06B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E06B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E06B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E06B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E06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E06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E06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E06BE"/>
    <w:rPr>
      <w:rFonts w:eastAsiaTheme="majorEastAsia" w:cstheme="majorBidi"/>
      <w:color w:val="272727" w:themeColor="text1" w:themeTint="D8"/>
    </w:rPr>
  </w:style>
  <w:style w:type="paragraph" w:styleId="KonuBal">
    <w:name w:val="Title"/>
    <w:basedOn w:val="Normal"/>
    <w:next w:val="Normal"/>
    <w:link w:val="KonuBalChar"/>
    <w:uiPriority w:val="10"/>
    <w:qFormat/>
    <w:rsid w:val="00FE0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E06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E06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E06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E06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E06BE"/>
    <w:rPr>
      <w:i/>
      <w:iCs/>
      <w:color w:val="404040" w:themeColor="text1" w:themeTint="BF"/>
    </w:rPr>
  </w:style>
  <w:style w:type="paragraph" w:styleId="ListeParagraf">
    <w:name w:val="List Paragraph"/>
    <w:basedOn w:val="Normal"/>
    <w:uiPriority w:val="34"/>
    <w:qFormat/>
    <w:rsid w:val="00FE06BE"/>
    <w:pPr>
      <w:ind w:left="720"/>
      <w:contextualSpacing/>
    </w:pPr>
  </w:style>
  <w:style w:type="character" w:styleId="GlVurgulama">
    <w:name w:val="Intense Emphasis"/>
    <w:basedOn w:val="VarsaylanParagrafYazTipi"/>
    <w:uiPriority w:val="21"/>
    <w:qFormat/>
    <w:rsid w:val="00FE06BE"/>
    <w:rPr>
      <w:i/>
      <w:iCs/>
      <w:color w:val="2F5496" w:themeColor="accent1" w:themeShade="BF"/>
    </w:rPr>
  </w:style>
  <w:style w:type="paragraph" w:styleId="GlAlnt">
    <w:name w:val="Intense Quote"/>
    <w:basedOn w:val="Normal"/>
    <w:next w:val="Normal"/>
    <w:link w:val="GlAlntChar"/>
    <w:uiPriority w:val="30"/>
    <w:qFormat/>
    <w:rsid w:val="00FE0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E06BE"/>
    <w:rPr>
      <w:i/>
      <w:iCs/>
      <w:color w:val="2F5496" w:themeColor="accent1" w:themeShade="BF"/>
    </w:rPr>
  </w:style>
  <w:style w:type="character" w:styleId="GlBavuru">
    <w:name w:val="Intense Reference"/>
    <w:basedOn w:val="VarsaylanParagrafYazTipi"/>
    <w:uiPriority w:val="32"/>
    <w:qFormat/>
    <w:rsid w:val="00FE06BE"/>
    <w:rPr>
      <w:b/>
      <w:bCs/>
      <w:smallCaps/>
      <w:color w:val="2F5496" w:themeColor="accent1" w:themeShade="BF"/>
      <w:spacing w:val="5"/>
    </w:rPr>
  </w:style>
  <w:style w:type="paragraph" w:styleId="stBilgi">
    <w:name w:val="header"/>
    <w:basedOn w:val="Normal"/>
    <w:link w:val="stBilgiChar"/>
    <w:uiPriority w:val="99"/>
    <w:unhideWhenUsed/>
    <w:rsid w:val="00FE06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06BE"/>
  </w:style>
  <w:style w:type="table" w:styleId="TabloKlavuzu">
    <w:name w:val="Table Grid"/>
    <w:basedOn w:val="NormalTablo"/>
    <w:uiPriority w:val="39"/>
    <w:rsid w:val="00FE0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B7ACC"/>
    <w:rPr>
      <w:color w:val="0563C1" w:themeColor="hyperlink"/>
      <w:u w:val="single"/>
    </w:rPr>
  </w:style>
  <w:style w:type="character" w:styleId="zmlenmeyenBahsetme">
    <w:name w:val="Unresolved Mention"/>
    <w:basedOn w:val="VarsaylanParagrafYazTipi"/>
    <w:uiPriority w:val="99"/>
    <w:semiHidden/>
    <w:unhideWhenUsed/>
    <w:rsid w:val="00CB7ACC"/>
    <w:rPr>
      <w:color w:val="605E5C"/>
      <w:shd w:val="clear" w:color="auto" w:fill="E1DFDD"/>
    </w:rPr>
  </w:style>
  <w:style w:type="paragraph" w:styleId="NormalWeb">
    <w:name w:val="Normal (Web)"/>
    <w:basedOn w:val="Normal"/>
    <w:uiPriority w:val="99"/>
    <w:semiHidden/>
    <w:unhideWhenUsed/>
    <w:rsid w:val="00E7754A"/>
    <w:rPr>
      <w:rFonts w:ascii="Times New Roman" w:hAnsi="Times New Roman" w:cs="Times New Roman"/>
      <w:sz w:val="24"/>
      <w:szCs w:val="24"/>
    </w:rPr>
  </w:style>
  <w:style w:type="paragraph" w:styleId="AltBilgi">
    <w:name w:val="footer"/>
    <w:basedOn w:val="Normal"/>
    <w:link w:val="AltBilgiChar"/>
    <w:uiPriority w:val="99"/>
    <w:unhideWhenUsed/>
    <w:rsid w:val="00405F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34">
      <w:bodyDiv w:val="1"/>
      <w:marLeft w:val="0"/>
      <w:marRight w:val="0"/>
      <w:marTop w:val="0"/>
      <w:marBottom w:val="0"/>
      <w:divBdr>
        <w:top w:val="none" w:sz="0" w:space="0" w:color="auto"/>
        <w:left w:val="none" w:sz="0" w:space="0" w:color="auto"/>
        <w:bottom w:val="none" w:sz="0" w:space="0" w:color="auto"/>
        <w:right w:val="none" w:sz="0" w:space="0" w:color="auto"/>
      </w:divBdr>
    </w:div>
    <w:div w:id="21245850">
      <w:bodyDiv w:val="1"/>
      <w:marLeft w:val="0"/>
      <w:marRight w:val="0"/>
      <w:marTop w:val="0"/>
      <w:marBottom w:val="0"/>
      <w:divBdr>
        <w:top w:val="none" w:sz="0" w:space="0" w:color="auto"/>
        <w:left w:val="none" w:sz="0" w:space="0" w:color="auto"/>
        <w:bottom w:val="none" w:sz="0" w:space="0" w:color="auto"/>
        <w:right w:val="none" w:sz="0" w:space="0" w:color="auto"/>
      </w:divBdr>
    </w:div>
    <w:div w:id="362443216">
      <w:bodyDiv w:val="1"/>
      <w:marLeft w:val="0"/>
      <w:marRight w:val="0"/>
      <w:marTop w:val="0"/>
      <w:marBottom w:val="0"/>
      <w:divBdr>
        <w:top w:val="none" w:sz="0" w:space="0" w:color="auto"/>
        <w:left w:val="none" w:sz="0" w:space="0" w:color="auto"/>
        <w:bottom w:val="none" w:sz="0" w:space="0" w:color="auto"/>
        <w:right w:val="none" w:sz="0" w:space="0" w:color="auto"/>
      </w:divBdr>
    </w:div>
    <w:div w:id="781655651">
      <w:bodyDiv w:val="1"/>
      <w:marLeft w:val="0"/>
      <w:marRight w:val="0"/>
      <w:marTop w:val="0"/>
      <w:marBottom w:val="0"/>
      <w:divBdr>
        <w:top w:val="none" w:sz="0" w:space="0" w:color="auto"/>
        <w:left w:val="none" w:sz="0" w:space="0" w:color="auto"/>
        <w:bottom w:val="none" w:sz="0" w:space="0" w:color="auto"/>
        <w:right w:val="none" w:sz="0" w:space="0" w:color="auto"/>
      </w:divBdr>
    </w:div>
    <w:div w:id="911886466">
      <w:bodyDiv w:val="1"/>
      <w:marLeft w:val="0"/>
      <w:marRight w:val="0"/>
      <w:marTop w:val="0"/>
      <w:marBottom w:val="0"/>
      <w:divBdr>
        <w:top w:val="none" w:sz="0" w:space="0" w:color="auto"/>
        <w:left w:val="none" w:sz="0" w:space="0" w:color="auto"/>
        <w:bottom w:val="none" w:sz="0" w:space="0" w:color="auto"/>
        <w:right w:val="none" w:sz="0" w:space="0" w:color="auto"/>
      </w:divBdr>
    </w:div>
    <w:div w:id="944338993">
      <w:bodyDiv w:val="1"/>
      <w:marLeft w:val="0"/>
      <w:marRight w:val="0"/>
      <w:marTop w:val="0"/>
      <w:marBottom w:val="0"/>
      <w:divBdr>
        <w:top w:val="none" w:sz="0" w:space="0" w:color="auto"/>
        <w:left w:val="none" w:sz="0" w:space="0" w:color="auto"/>
        <w:bottom w:val="none" w:sz="0" w:space="0" w:color="auto"/>
        <w:right w:val="none" w:sz="0" w:space="0" w:color="auto"/>
      </w:divBdr>
    </w:div>
    <w:div w:id="961156997">
      <w:bodyDiv w:val="1"/>
      <w:marLeft w:val="0"/>
      <w:marRight w:val="0"/>
      <w:marTop w:val="0"/>
      <w:marBottom w:val="0"/>
      <w:divBdr>
        <w:top w:val="none" w:sz="0" w:space="0" w:color="auto"/>
        <w:left w:val="none" w:sz="0" w:space="0" w:color="auto"/>
        <w:bottom w:val="none" w:sz="0" w:space="0" w:color="auto"/>
        <w:right w:val="none" w:sz="0" w:space="0" w:color="auto"/>
      </w:divBdr>
    </w:div>
    <w:div w:id="1503355079">
      <w:bodyDiv w:val="1"/>
      <w:marLeft w:val="0"/>
      <w:marRight w:val="0"/>
      <w:marTop w:val="0"/>
      <w:marBottom w:val="0"/>
      <w:divBdr>
        <w:top w:val="none" w:sz="0" w:space="0" w:color="auto"/>
        <w:left w:val="none" w:sz="0" w:space="0" w:color="auto"/>
        <w:bottom w:val="none" w:sz="0" w:space="0" w:color="auto"/>
        <w:right w:val="none" w:sz="0" w:space="0" w:color="auto"/>
      </w:divBdr>
    </w:div>
    <w:div w:id="1512379800">
      <w:bodyDiv w:val="1"/>
      <w:marLeft w:val="0"/>
      <w:marRight w:val="0"/>
      <w:marTop w:val="0"/>
      <w:marBottom w:val="0"/>
      <w:divBdr>
        <w:top w:val="none" w:sz="0" w:space="0" w:color="auto"/>
        <w:left w:val="none" w:sz="0" w:space="0" w:color="auto"/>
        <w:bottom w:val="none" w:sz="0" w:space="0" w:color="auto"/>
        <w:right w:val="none" w:sz="0" w:space="0" w:color="auto"/>
      </w:divBdr>
    </w:div>
    <w:div w:id="1561018423">
      <w:bodyDiv w:val="1"/>
      <w:marLeft w:val="0"/>
      <w:marRight w:val="0"/>
      <w:marTop w:val="0"/>
      <w:marBottom w:val="0"/>
      <w:divBdr>
        <w:top w:val="none" w:sz="0" w:space="0" w:color="auto"/>
        <w:left w:val="none" w:sz="0" w:space="0" w:color="auto"/>
        <w:bottom w:val="none" w:sz="0" w:space="0" w:color="auto"/>
        <w:right w:val="none" w:sz="0" w:space="0" w:color="auto"/>
      </w:divBdr>
    </w:div>
    <w:div w:id="1714692609">
      <w:bodyDiv w:val="1"/>
      <w:marLeft w:val="0"/>
      <w:marRight w:val="0"/>
      <w:marTop w:val="0"/>
      <w:marBottom w:val="0"/>
      <w:divBdr>
        <w:top w:val="none" w:sz="0" w:space="0" w:color="auto"/>
        <w:left w:val="none" w:sz="0" w:space="0" w:color="auto"/>
        <w:bottom w:val="none" w:sz="0" w:space="0" w:color="auto"/>
        <w:right w:val="none" w:sz="0" w:space="0" w:color="auto"/>
      </w:divBdr>
    </w:div>
    <w:div w:id="1730033470">
      <w:bodyDiv w:val="1"/>
      <w:marLeft w:val="0"/>
      <w:marRight w:val="0"/>
      <w:marTop w:val="0"/>
      <w:marBottom w:val="0"/>
      <w:divBdr>
        <w:top w:val="none" w:sz="0" w:space="0" w:color="auto"/>
        <w:left w:val="none" w:sz="0" w:space="0" w:color="auto"/>
        <w:bottom w:val="none" w:sz="0" w:space="0" w:color="auto"/>
        <w:right w:val="none" w:sz="0" w:space="0" w:color="auto"/>
      </w:divBdr>
    </w:div>
    <w:div w:id="1946686968">
      <w:bodyDiv w:val="1"/>
      <w:marLeft w:val="0"/>
      <w:marRight w:val="0"/>
      <w:marTop w:val="0"/>
      <w:marBottom w:val="0"/>
      <w:divBdr>
        <w:top w:val="none" w:sz="0" w:space="0" w:color="auto"/>
        <w:left w:val="none" w:sz="0" w:space="0" w:color="auto"/>
        <w:bottom w:val="none" w:sz="0" w:space="0" w:color="auto"/>
        <w:right w:val="none" w:sz="0" w:space="0" w:color="auto"/>
      </w:divBdr>
    </w:div>
    <w:div w:id="21365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jital.gib.gov.tr/duyuru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1087</Words>
  <Characters>6202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13</cp:revision>
  <dcterms:created xsi:type="dcterms:W3CDTF">2025-04-24T13:04:00Z</dcterms:created>
  <dcterms:modified xsi:type="dcterms:W3CDTF">2025-05-02T13:42:00Z</dcterms:modified>
</cp:coreProperties>
</file>