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780A" w14:textId="63F187E6" w:rsidR="00FA010A" w:rsidRDefault="00FA010A" w:rsidP="00FA010A">
      <w:pPr>
        <w:spacing w:after="0" w:line="240" w:lineRule="auto"/>
        <w:jc w:val="center"/>
        <w:rPr>
          <w:b/>
          <w:bCs/>
          <w:sz w:val="32"/>
          <w:szCs w:val="32"/>
        </w:rPr>
      </w:pPr>
      <w:r>
        <w:rPr>
          <w:b/>
          <w:bCs/>
          <w:sz w:val="32"/>
          <w:szCs w:val="32"/>
        </w:rPr>
        <w:t>VERGİ MEVZUATINDAKİ GELİŞMELER</w:t>
      </w:r>
      <w:r w:rsidRPr="00FC7ED4">
        <w:rPr>
          <w:b/>
          <w:bCs/>
          <w:sz w:val="32"/>
          <w:szCs w:val="32"/>
        </w:rPr>
        <w:t xml:space="preserve"> 202</w:t>
      </w:r>
      <w:r>
        <w:rPr>
          <w:b/>
          <w:bCs/>
          <w:sz w:val="32"/>
          <w:szCs w:val="32"/>
        </w:rPr>
        <w:t>5</w:t>
      </w:r>
      <w:r w:rsidRPr="00FC7ED4">
        <w:rPr>
          <w:b/>
          <w:bCs/>
          <w:sz w:val="32"/>
          <w:szCs w:val="32"/>
        </w:rPr>
        <w:t>/</w:t>
      </w:r>
      <w:r>
        <w:rPr>
          <w:b/>
          <w:bCs/>
          <w:sz w:val="32"/>
          <w:szCs w:val="32"/>
        </w:rPr>
        <w:t>MART-3</w:t>
      </w:r>
    </w:p>
    <w:p w14:paraId="1577E988" w14:textId="61614D51" w:rsidR="00E9399D" w:rsidRDefault="00E9399D" w:rsidP="00E9399D">
      <w:pPr>
        <w:spacing w:after="0" w:line="240" w:lineRule="auto"/>
        <w:jc w:val="center"/>
        <w:rPr>
          <w:b/>
          <w:bCs/>
          <w:sz w:val="18"/>
          <w:szCs w:val="18"/>
        </w:rPr>
      </w:pPr>
      <w:r w:rsidRPr="00B54EDB">
        <w:rPr>
          <w:b/>
          <w:bCs/>
          <w:sz w:val="18"/>
          <w:szCs w:val="18"/>
        </w:rPr>
        <w:t>(</w:t>
      </w:r>
      <w:r>
        <w:rPr>
          <w:b/>
          <w:bCs/>
          <w:sz w:val="18"/>
          <w:szCs w:val="18"/>
        </w:rPr>
        <w:t>28.03.2025</w:t>
      </w:r>
      <w:r w:rsidR="00CF3FE4">
        <w:rPr>
          <w:b/>
          <w:bCs/>
          <w:sz w:val="18"/>
          <w:szCs w:val="18"/>
        </w:rPr>
        <w:t>-30.03.2025</w:t>
      </w:r>
      <w:r w:rsidRPr="00B54EDB">
        <w:rPr>
          <w:b/>
          <w:bCs/>
          <w:sz w:val="18"/>
          <w:szCs w:val="18"/>
        </w:rPr>
        <w:t>)</w:t>
      </w:r>
    </w:p>
    <w:p w14:paraId="56D70C88" w14:textId="77777777" w:rsidR="00C23507" w:rsidRDefault="00C23507"/>
    <w:p w14:paraId="03896167" w14:textId="77777777" w:rsidR="00FA010A" w:rsidRDefault="00FA010A"/>
    <w:p w14:paraId="3E954BC2" w14:textId="3DD0C8CE" w:rsidR="00E9399D" w:rsidRPr="00E9399D" w:rsidRDefault="00E9399D" w:rsidP="003A3642">
      <w:pPr>
        <w:jc w:val="both"/>
        <w:rPr>
          <w:b/>
          <w:bCs/>
          <w:sz w:val="26"/>
          <w:szCs w:val="26"/>
        </w:rPr>
      </w:pPr>
      <w:r w:rsidRPr="00E9399D">
        <w:rPr>
          <w:b/>
          <w:bCs/>
          <w:sz w:val="26"/>
          <w:szCs w:val="26"/>
        </w:rPr>
        <w:t>I- TÜRK PARASI KIYMETİNİ KORUMA HAKKINDA 32 SAYILI KARARA İLİŞKİN TEBLİĞ (TEBLİĞ NO: 2008-32/35)’DE DEĞİŞİKLİK YAP</w:t>
      </w:r>
      <w:r w:rsidR="00C25F26">
        <w:rPr>
          <w:b/>
          <w:bCs/>
          <w:sz w:val="26"/>
          <w:szCs w:val="26"/>
        </w:rPr>
        <w:t>AN 2025-32/74 NO’LU TEBLİĞ YAYINLANM</w:t>
      </w:r>
      <w:r w:rsidRPr="00E9399D">
        <w:rPr>
          <w:b/>
          <w:bCs/>
          <w:sz w:val="26"/>
          <w:szCs w:val="26"/>
        </w:rPr>
        <w:t>IŞTIR</w:t>
      </w:r>
    </w:p>
    <w:p w14:paraId="755E390F" w14:textId="1F538CA9" w:rsidR="00E9399D" w:rsidRDefault="00E9399D" w:rsidP="00C25F26">
      <w:pPr>
        <w:jc w:val="both"/>
      </w:pPr>
      <w:r>
        <w:t xml:space="preserve">28.03.2025 tarihli ve 32855 sayılı </w:t>
      </w:r>
      <w:proofErr w:type="gramStart"/>
      <w:r>
        <w:t>Resmi</w:t>
      </w:r>
      <w:proofErr w:type="gramEnd"/>
      <w:r>
        <w:t xml:space="preserve"> </w:t>
      </w:r>
      <w:proofErr w:type="spellStart"/>
      <w:r>
        <w:t>Gazete’de</w:t>
      </w:r>
      <w:proofErr w:type="spellEnd"/>
      <w:r>
        <w:t xml:space="preserve"> yayımlanan </w:t>
      </w:r>
      <w:r w:rsidRPr="00E9399D">
        <w:t>Türk Parası Kıymetini Koruma Hakkında 32 Sayılı Karara İlişkin</w:t>
      </w:r>
      <w:r>
        <w:t xml:space="preserve"> </w:t>
      </w:r>
      <w:r w:rsidRPr="00E9399D">
        <w:t>Tebliğ (Tebliğ No: 2008-32/35)’</w:t>
      </w:r>
      <w:r>
        <w:t>d</w:t>
      </w:r>
      <w:r w:rsidRPr="00E9399D">
        <w:t>e Değişiklik Yapılmasına</w:t>
      </w:r>
      <w:r>
        <w:t xml:space="preserve"> </w:t>
      </w:r>
      <w:r w:rsidRPr="00E9399D">
        <w:t>Dair Tebliğ (Tebliğ No: 2025-32/74)</w:t>
      </w:r>
      <w:r>
        <w:t xml:space="preserve"> ile yapılan değişiklik ile ilgili maddelere </w:t>
      </w:r>
      <w:r w:rsidRPr="00524D68">
        <w:rPr>
          <w:b/>
          <w:bCs/>
        </w:rPr>
        <w:t xml:space="preserve">“paladyum” elementi </w:t>
      </w:r>
      <w:r>
        <w:t>ilave edilmiştir. Yapılan ilaveler ve ilgili maddeler aşağıdaki gibidir:</w:t>
      </w:r>
    </w:p>
    <w:p w14:paraId="166438F1" w14:textId="5A8D50DC" w:rsidR="00E9399D" w:rsidRPr="00E9399D" w:rsidRDefault="00E9399D" w:rsidP="00C25F26">
      <w:pPr>
        <w:jc w:val="both"/>
      </w:pPr>
      <w:r>
        <w:rPr>
          <w:b/>
          <w:bCs/>
        </w:rPr>
        <w:t xml:space="preserve">A- </w:t>
      </w:r>
      <w:r w:rsidRPr="00E9399D">
        <w:t>Türk Parası Kıymetini Koruma Hakkında 32 Sayılı Karara İlişkin Tebliğ (Tebliğ No: 2008-32/35)’in 1</w:t>
      </w:r>
      <w:r>
        <w:t>’</w:t>
      </w:r>
      <w:r w:rsidRPr="00E9399D">
        <w:t>inci maddesinde yer alan “bankalarca altın, gümüş ve platin” ibaresi “bankalarca altın, gümüş, platin ve paladyum” şeklinde değiştirilmiştir.</w:t>
      </w:r>
    </w:p>
    <w:p w14:paraId="1DE9256F" w14:textId="14E006E2" w:rsidR="00E9399D" w:rsidRPr="00E9399D" w:rsidRDefault="00E9399D" w:rsidP="00C25F26">
      <w:pPr>
        <w:jc w:val="both"/>
      </w:pPr>
      <w:r w:rsidRPr="00E9399D">
        <w:rPr>
          <w:b/>
          <w:bCs/>
        </w:rPr>
        <w:t>B-</w:t>
      </w:r>
      <w:r w:rsidRPr="00E9399D">
        <w:t> Aynı Tebliğin 3</w:t>
      </w:r>
      <w:r>
        <w:t>’</w:t>
      </w:r>
      <w:r w:rsidRPr="00E9399D">
        <w:t>üncü maddesinin başlığında ve birinci fıkrasında yer alan “gümüş ve platin” ibareleri “gümüş, platin ve paladyum” şeklinde, aynı maddenin birinci ve ikinci fıkralarında yer alan “gümüş ve platinin” ibareleri “gümüş, platin ve paladyumun” şeklinde ve ikinci fıkrasında yer alan “gümüş ve platin için” ibaresi “gümüş, platin ve paladyum için” şeklinde değiştirilmiştir.</w:t>
      </w:r>
    </w:p>
    <w:p w14:paraId="144DC96D" w14:textId="36128967" w:rsidR="00E9399D" w:rsidRPr="00E9399D" w:rsidRDefault="00E9399D" w:rsidP="00C25F26">
      <w:pPr>
        <w:jc w:val="both"/>
      </w:pPr>
      <w:r w:rsidRPr="00E9399D">
        <w:rPr>
          <w:b/>
          <w:bCs/>
        </w:rPr>
        <w:t>C-</w:t>
      </w:r>
      <w:r>
        <w:t xml:space="preserve"> </w:t>
      </w:r>
      <w:r w:rsidRPr="00E9399D">
        <w:t>Aynı Tebliğin 4</w:t>
      </w:r>
      <w:r>
        <w:t>’</w:t>
      </w:r>
      <w:r w:rsidRPr="00E9399D">
        <w:t>üncü maddesinin başlığında yer alan “gümüş ve platinin” ibaresi “gümüş, platin ve paladyumun” şeklinde, birinci fıkrasında yer alan “gümüş ve platin” ibaresi “gümüş, platin ve paladyum” şeklinde ve ikinci fıkrasında yer alan “altın gümüş ve platin” ibaresi “altın, gümüş, platin ve paladyum” şeklinde değiştirilmiştir.</w:t>
      </w:r>
    </w:p>
    <w:p w14:paraId="0735139F" w14:textId="67A35B96" w:rsidR="00E9399D" w:rsidRPr="00E9399D" w:rsidRDefault="00E9399D" w:rsidP="00C25F26">
      <w:pPr>
        <w:jc w:val="both"/>
      </w:pPr>
      <w:r w:rsidRPr="00E9399D">
        <w:rPr>
          <w:b/>
          <w:bCs/>
        </w:rPr>
        <w:t>D-</w:t>
      </w:r>
      <w:r>
        <w:t xml:space="preserve"> </w:t>
      </w:r>
      <w:r w:rsidRPr="00E9399D">
        <w:t>Aynı Tebliğin 5</w:t>
      </w:r>
      <w:r>
        <w:t>’</w:t>
      </w:r>
      <w:r w:rsidRPr="00E9399D">
        <w:t>inci maddesinin birinci fıkrasında yer alan “gümüş ve platin” ibareleri “gümüş, platin ve paladyum” şeklinde değiştirilmiştir.</w:t>
      </w:r>
    </w:p>
    <w:p w14:paraId="1A3E7702" w14:textId="1D7E1AFF" w:rsidR="00E9399D" w:rsidRPr="00E9399D" w:rsidRDefault="00E9399D" w:rsidP="00C25F26">
      <w:pPr>
        <w:jc w:val="both"/>
      </w:pPr>
      <w:r w:rsidRPr="00E9399D">
        <w:rPr>
          <w:b/>
          <w:bCs/>
        </w:rPr>
        <w:t>E-</w:t>
      </w:r>
      <w:r>
        <w:t xml:space="preserve"> </w:t>
      </w:r>
      <w:r w:rsidRPr="00E9399D">
        <w:t>Aynı Tebliğin 6</w:t>
      </w:r>
      <w:r>
        <w:t>’</w:t>
      </w:r>
      <w:r w:rsidRPr="00E9399D">
        <w:t>ncı maddesinde yer alan “gümüş veya platin” ibaresi “gümüş, platin veya paladyum” şeklinde değiştirilmiş, aynı maddede yer alan “platin veya bunların” ibaresi “platin, paladyum veya bunların” şeklinde değiştirilmiştir.</w:t>
      </w:r>
    </w:p>
    <w:p w14:paraId="69683CB3" w14:textId="0767FF5A" w:rsidR="00E9399D" w:rsidRPr="00E9399D" w:rsidRDefault="00E9399D" w:rsidP="00C25F26">
      <w:pPr>
        <w:jc w:val="both"/>
      </w:pPr>
      <w:r w:rsidRPr="00E9399D">
        <w:rPr>
          <w:b/>
          <w:bCs/>
        </w:rPr>
        <w:t>MADDE 6-</w:t>
      </w:r>
      <w:r w:rsidRPr="00E9399D">
        <w:t> Aynı Tebliğin 7</w:t>
      </w:r>
      <w:r w:rsidR="00524D68">
        <w:t>’</w:t>
      </w:r>
      <w:r w:rsidRPr="00E9399D">
        <w:t>nci maddesinde yer alan “gümüş veya platin miktarının” ibaresi “gümüş, platin veya paladyum miktarının” şeklinde değiştirilmiş, aynı maddede yer alan “altın, gümüş veya platin,” ibaresi “altın, gümüş, platin veya paladyum,” şeklinde değiştirilmiştir.</w:t>
      </w:r>
    </w:p>
    <w:p w14:paraId="43B42A24" w14:textId="4D855421" w:rsidR="00E9399D" w:rsidRDefault="00E9399D" w:rsidP="00C25F26">
      <w:pPr>
        <w:jc w:val="both"/>
      </w:pPr>
      <w:r w:rsidRPr="00E9399D">
        <w:rPr>
          <w:b/>
          <w:bCs/>
        </w:rPr>
        <w:t>MADDE 7-</w:t>
      </w:r>
      <w:r w:rsidRPr="00E9399D">
        <w:t> Aynı Tebliğin 10 uncu maddesinde yer alan “gümüş veya platin” ibaresi “gümüş, platin veya paladyum” şeklinde değiştirilmiştir.</w:t>
      </w:r>
    </w:p>
    <w:p w14:paraId="0FC58F2E" w14:textId="77777777" w:rsidR="00C25F26" w:rsidRDefault="00C25F26" w:rsidP="00C25F26">
      <w:pPr>
        <w:jc w:val="both"/>
      </w:pPr>
    </w:p>
    <w:p w14:paraId="4741A44F" w14:textId="0B0DBE57" w:rsidR="00C25F26" w:rsidRDefault="00C25F26" w:rsidP="00C25F26">
      <w:pPr>
        <w:jc w:val="both"/>
      </w:pPr>
      <w:r w:rsidRPr="00C25F26">
        <w:rPr>
          <w:b/>
          <w:bCs/>
          <w:sz w:val="26"/>
          <w:szCs w:val="26"/>
        </w:rPr>
        <w:t xml:space="preserve">II- TÜRK PARASI KIYMETİNİ KORUMA HAKKINDA 32 SAYILI KARARA İLİŞKİN </w:t>
      </w:r>
      <w:r w:rsidRPr="00E9399D">
        <w:rPr>
          <w:b/>
          <w:bCs/>
          <w:sz w:val="26"/>
          <w:szCs w:val="26"/>
        </w:rPr>
        <w:t>TEBLİĞ (TEBLİĞ NO: 2008-32/35)’DE DEĞİŞİKLİK YAP</w:t>
      </w:r>
      <w:r>
        <w:rPr>
          <w:b/>
          <w:bCs/>
          <w:sz w:val="26"/>
          <w:szCs w:val="26"/>
        </w:rPr>
        <w:t>AN 2025-32/75 NO’LU TEBLİĞ YAYINLANM</w:t>
      </w:r>
      <w:r w:rsidRPr="00E9399D">
        <w:rPr>
          <w:b/>
          <w:bCs/>
          <w:sz w:val="26"/>
          <w:szCs w:val="26"/>
        </w:rPr>
        <w:t>IŞTIR</w:t>
      </w:r>
    </w:p>
    <w:p w14:paraId="04204F51" w14:textId="61600ED0" w:rsidR="00C25F26" w:rsidRDefault="00150C2F" w:rsidP="00C25F26">
      <w:pPr>
        <w:jc w:val="both"/>
      </w:pPr>
      <w:r>
        <w:lastRenderedPageBreak/>
        <w:t xml:space="preserve">28.03.2025 tarihli ve 32855 sayılı </w:t>
      </w:r>
      <w:proofErr w:type="gramStart"/>
      <w:r>
        <w:t>Resmi</w:t>
      </w:r>
      <w:proofErr w:type="gramEnd"/>
      <w:r>
        <w:t xml:space="preserve"> </w:t>
      </w:r>
      <w:proofErr w:type="spellStart"/>
      <w:r>
        <w:t>Gazete’de</w:t>
      </w:r>
      <w:proofErr w:type="spellEnd"/>
      <w:r>
        <w:t xml:space="preserve"> yayımlanan </w:t>
      </w:r>
      <w:r w:rsidRPr="00C25F26">
        <w:t>Türk Parası Kıymetini Koruma Hakkında 32 Sayılı Karara İlişkin</w:t>
      </w:r>
      <w:r w:rsidRPr="00150C2F">
        <w:t xml:space="preserve"> </w:t>
      </w:r>
      <w:r w:rsidRPr="00C25F26">
        <w:t>Tebliğ (Tebliğ No: 2008-32/34)’</w:t>
      </w:r>
      <w:r>
        <w:t>d</w:t>
      </w:r>
      <w:r w:rsidRPr="00C25F26">
        <w:t>e Değişiklik Yapılmasına</w:t>
      </w:r>
      <w:r w:rsidRPr="00150C2F">
        <w:t xml:space="preserve"> </w:t>
      </w:r>
      <w:r w:rsidRPr="00C25F26">
        <w:t>Dair Tebliğ (Tebliğ No: 2025-32/75)</w:t>
      </w:r>
      <w:r>
        <w:t xml:space="preserve"> ile getirilen yeni düzenlemeler aşağıdaki gibidir:</w:t>
      </w:r>
    </w:p>
    <w:p w14:paraId="57FFDD65" w14:textId="03FE4DBE" w:rsidR="00150C2F" w:rsidRDefault="00150C2F" w:rsidP="00C25F26">
      <w:pPr>
        <w:jc w:val="both"/>
      </w:pPr>
      <w:r w:rsidRPr="00150C2F">
        <w:rPr>
          <w:b/>
          <w:bCs/>
        </w:rPr>
        <w:t>A-</w:t>
      </w:r>
      <w:r>
        <w:t xml:space="preserve"> </w:t>
      </w:r>
      <w:r w:rsidRPr="00150C2F">
        <w:t>Türk Parası Kıymetini Koruma Hakkında 32 Sayılı Karara İlişkin Tebliğ (Tebliğ No: 2008-32/34)’in 3</w:t>
      </w:r>
      <w:r>
        <w:t>’</w:t>
      </w:r>
      <w:r w:rsidRPr="00150C2F">
        <w:t>üncü maddesinin beşinci ve altıncı fıkralarında yer alan “25.000 TL’yi” ibareleri “185.000 TL’yi” şeklinde değiştirilmiştir.</w:t>
      </w:r>
      <w:r>
        <w:t xml:space="preserve"> Türk Parası ve Döviz başlıklı söz konusu 3. maddenin 5. ve 6. fıkralarının son hali aşağıdaki gibidir:</w:t>
      </w:r>
    </w:p>
    <w:p w14:paraId="13624454" w14:textId="16E489FA" w:rsidR="00150C2F" w:rsidRPr="00150C2F" w:rsidRDefault="00150C2F" w:rsidP="00150C2F">
      <w:pPr>
        <w:shd w:val="clear" w:color="auto" w:fill="F2F2F2" w:themeFill="background1" w:themeFillShade="F2"/>
        <w:jc w:val="both"/>
        <w:rPr>
          <w:i/>
          <w:iCs/>
          <w:sz w:val="20"/>
          <w:szCs w:val="20"/>
        </w:rPr>
      </w:pPr>
      <w:r w:rsidRPr="00150C2F">
        <w:rPr>
          <w:i/>
          <w:iCs/>
          <w:sz w:val="20"/>
          <w:szCs w:val="20"/>
        </w:rPr>
        <w:t xml:space="preserve">“(5) Yolcu beraberi yapılan </w:t>
      </w:r>
      <w:r w:rsidRPr="00150C2F">
        <w:rPr>
          <w:b/>
          <w:bCs/>
          <w:i/>
          <w:iCs/>
          <w:sz w:val="20"/>
          <w:szCs w:val="20"/>
        </w:rPr>
        <w:t>185.000 TL’yi</w:t>
      </w:r>
      <w:r w:rsidRPr="00150C2F">
        <w:rPr>
          <w:i/>
          <w:iCs/>
          <w:sz w:val="20"/>
          <w:szCs w:val="20"/>
        </w:rPr>
        <w:t xml:space="preserve"> aşan Türk parası ve Türk parası ile ödemeyi sağlayan belge çıkışlarında gümrük idarelerine Ticaret Bakanlığı nakit beyan formu ile beyanda bulunulur. </w:t>
      </w:r>
    </w:p>
    <w:p w14:paraId="6187EDCA" w14:textId="574944DA" w:rsidR="00150C2F" w:rsidRPr="00C25F26" w:rsidRDefault="00150C2F" w:rsidP="00150C2F">
      <w:pPr>
        <w:shd w:val="clear" w:color="auto" w:fill="F2F2F2" w:themeFill="background1" w:themeFillShade="F2"/>
        <w:jc w:val="both"/>
        <w:rPr>
          <w:i/>
          <w:iCs/>
          <w:sz w:val="20"/>
          <w:szCs w:val="20"/>
        </w:rPr>
      </w:pPr>
      <w:r w:rsidRPr="00150C2F">
        <w:rPr>
          <w:i/>
          <w:iCs/>
          <w:sz w:val="20"/>
          <w:szCs w:val="20"/>
        </w:rPr>
        <w:t xml:space="preserve">(6) Yolcu beraberi yapılan </w:t>
      </w:r>
      <w:r w:rsidRPr="00150C2F">
        <w:rPr>
          <w:b/>
          <w:bCs/>
          <w:i/>
          <w:iCs/>
          <w:sz w:val="20"/>
          <w:szCs w:val="20"/>
        </w:rPr>
        <w:t>185.000 TL’yi</w:t>
      </w:r>
      <w:r w:rsidRPr="00150C2F">
        <w:rPr>
          <w:i/>
          <w:iCs/>
          <w:sz w:val="20"/>
          <w:szCs w:val="20"/>
        </w:rPr>
        <w:t xml:space="preserve"> aşan Türk parası ve Türk parası ile ödemeyi sağlayan belge çıkışlarında beyanda bulunulmaması veya yanlış ya da yanıltıcı beyanda bulunulduğunun tespiti halinde söz konusu değerler gümrük idaresince muhafaza altına alınır ve durum şüpheli kabul edilerek Mali Suçları Araştırma Kurulu Başkanlığına bildirilir. Ayrıca, gümrük idarelerince 20/2/1930 tarihli ve 1567 sayılı Türk Parasının Kıymetini Koruma Hakkında Kanunun 3’üncü maddesinin birinci fıkrası uyarınca işlem yapılabilmesini teminen Cumhuriyet Savcılıklarına bildirimde bulunulur.”</w:t>
      </w:r>
    </w:p>
    <w:p w14:paraId="6080A7BA" w14:textId="2FBE2E2C" w:rsidR="00150C2F" w:rsidRDefault="00150C2F" w:rsidP="00150C2F">
      <w:pPr>
        <w:jc w:val="both"/>
      </w:pPr>
      <w:r w:rsidRPr="00150C2F">
        <w:rPr>
          <w:b/>
          <w:bCs/>
        </w:rPr>
        <w:t>B-</w:t>
      </w:r>
      <w:r>
        <w:t xml:space="preserve"> </w:t>
      </w:r>
      <w:r w:rsidRPr="00150C2F">
        <w:t>Türk Parası Kıymetini Koruma Hakkında 32 Sayılı Karara İlişkin Tebliğ (Tebliğ No: 2008-32/34)’in</w:t>
      </w:r>
      <w:r>
        <w:t xml:space="preserve"> 9. maddesi aşağıdaki şekilde değiştirilmiştir:</w:t>
      </w:r>
    </w:p>
    <w:p w14:paraId="2088B317" w14:textId="64385779" w:rsidR="00150C2F" w:rsidRPr="00150C2F" w:rsidRDefault="00150C2F" w:rsidP="00150C2F">
      <w:pPr>
        <w:shd w:val="clear" w:color="auto" w:fill="F2F2F2" w:themeFill="background1" w:themeFillShade="F2"/>
        <w:jc w:val="both"/>
        <w:rPr>
          <w:i/>
          <w:iCs/>
          <w:sz w:val="20"/>
          <w:szCs w:val="20"/>
        </w:rPr>
      </w:pPr>
      <w:r w:rsidRPr="00150C2F">
        <w:rPr>
          <w:i/>
          <w:iCs/>
          <w:sz w:val="20"/>
          <w:szCs w:val="20"/>
        </w:rPr>
        <w:t>“MADDE 9- (1) Bedel transferlerinin bankalardan yapılması kaydıyla yurt dışındaki mali piyasalarda işlem gören menkul kıymetlerin, diğer sermaye piyasası araçlarının, vadeli işlem ve opsiyon sözleşmeleri dahil her türlü türev araçlarının alım satımı Sermaye Piyasası Kurulu tarafından yetkilendirilmiş bankalar ve aracı kurumlar aracılığıyla yapılır. Ancak, Türkiye’deki yerleşik kişilere yönelik tanıtım, reklam ve pazarlama gibi faaliyetlerde bulunulmaması şartıyla, Türkiye’de yerleşik kişilerin tamamen kendi inisiyatifleri doğrultusunda, yurt dışında yerleşik finansal kuruluşlar ile yaptıkları türev işlemlerin bankalar ve aracı kurumlar vasıtasıyla yapılması zorunlu olmamakla birlikte, söz konusu işlemlere ilişkin bedel transferlerinin bankalar aracılığıyla yapılması zorunludur.</w:t>
      </w:r>
    </w:p>
    <w:p w14:paraId="374B3B98" w14:textId="215523A0" w:rsidR="00150C2F" w:rsidRPr="00150C2F" w:rsidRDefault="00150C2F" w:rsidP="00150C2F">
      <w:pPr>
        <w:shd w:val="clear" w:color="auto" w:fill="F2F2F2" w:themeFill="background1" w:themeFillShade="F2"/>
        <w:jc w:val="both"/>
        <w:rPr>
          <w:i/>
          <w:iCs/>
          <w:sz w:val="20"/>
          <w:szCs w:val="20"/>
        </w:rPr>
      </w:pPr>
      <w:r w:rsidRPr="00150C2F">
        <w:rPr>
          <w:i/>
          <w:iCs/>
          <w:sz w:val="20"/>
          <w:szCs w:val="20"/>
        </w:rPr>
        <w:t>(2) Türkiye’de yerleşik kişilerin, kaldıraçlı işlemler ve kaldıraçlı işlemlerle aynı hükümlere tabi olduğu belirlenen türev araçları yalnızca Sermaye Piyasası Kurulu tarafından yetkilendirilmiş kuruluşlar aracılığıyla almaları ve satmaları serbesttir. Sermaye Piyasası Kurulu tarafından yetkilendirilmiş kuruluşlar haricindeki kişilerce bu işlemlere aracılık edilemez ve bu işlemler ile ilgili olarak yurt dışına transfer yapılamaz. Bu işlemlerin önlenmesi konusunda 32 sayılı Kararın 6</w:t>
      </w:r>
      <w:r>
        <w:rPr>
          <w:i/>
          <w:iCs/>
          <w:sz w:val="20"/>
          <w:szCs w:val="20"/>
        </w:rPr>
        <w:t>’</w:t>
      </w:r>
      <w:r w:rsidRPr="00150C2F">
        <w:rPr>
          <w:i/>
          <w:iCs/>
          <w:sz w:val="20"/>
          <w:szCs w:val="20"/>
        </w:rPr>
        <w:t>ncı maddesinin dokuzuncu fıkrası hükmü uyarınca gerekli tedbirler alınır. Bu fıkra hükmüne aykırı işlemlerin tespiti halinde Bakanlığa bildirimde bulunulur.”</w:t>
      </w:r>
    </w:p>
    <w:p w14:paraId="3D5EECA7" w14:textId="5C39FF92" w:rsidR="00C25F26" w:rsidRDefault="00C25F26" w:rsidP="00C25F26">
      <w:pPr>
        <w:jc w:val="both"/>
      </w:pPr>
    </w:p>
    <w:p w14:paraId="332E0B05" w14:textId="0EC0B6B2" w:rsidR="00CC3910" w:rsidRPr="00E9399D" w:rsidRDefault="00CC3910" w:rsidP="00C25F26">
      <w:pPr>
        <w:jc w:val="both"/>
        <w:rPr>
          <w:b/>
          <w:bCs/>
          <w:sz w:val="26"/>
          <w:szCs w:val="26"/>
        </w:rPr>
      </w:pPr>
      <w:r w:rsidRPr="00155B09">
        <w:rPr>
          <w:b/>
          <w:bCs/>
          <w:sz w:val="26"/>
          <w:szCs w:val="26"/>
        </w:rPr>
        <w:t xml:space="preserve">III- </w:t>
      </w:r>
      <w:r w:rsidR="00155B09" w:rsidRPr="00155B09">
        <w:rPr>
          <w:b/>
          <w:bCs/>
          <w:sz w:val="26"/>
          <w:szCs w:val="26"/>
        </w:rPr>
        <w:t>ULUSAL TAŞIT TANIMA SİSTEMİ UYGULAMA GENEL TEBLİĞİ</w:t>
      </w:r>
      <w:r w:rsidR="00155B09">
        <w:rPr>
          <w:b/>
          <w:bCs/>
          <w:sz w:val="26"/>
          <w:szCs w:val="26"/>
        </w:rPr>
        <w:t xml:space="preserve"> </w:t>
      </w:r>
      <w:r w:rsidR="00155B09" w:rsidRPr="00155B09">
        <w:rPr>
          <w:b/>
          <w:bCs/>
          <w:sz w:val="26"/>
          <w:szCs w:val="26"/>
        </w:rPr>
        <w:t>(SIRA NO:1)’DE DEĞİŞİKLİK YAPILMIŞTIR</w:t>
      </w:r>
    </w:p>
    <w:p w14:paraId="3005D560" w14:textId="77777777" w:rsidR="00524D68" w:rsidRDefault="00155B09" w:rsidP="00745452">
      <w:pPr>
        <w:jc w:val="both"/>
        <w:rPr>
          <w:b/>
          <w:bCs/>
        </w:rPr>
      </w:pPr>
      <w:r w:rsidRPr="00155B09">
        <w:t>Ulusal Taşıt Tanıma Sistemi Uygulama Genel Tebliği (Sıra No:1)’</w:t>
      </w:r>
      <w:proofErr w:type="spellStart"/>
      <w:r>
        <w:t>n</w:t>
      </w:r>
      <w:r w:rsidRPr="00155B09">
        <w:t>de</w:t>
      </w:r>
      <w:proofErr w:type="spellEnd"/>
      <w:r w:rsidRPr="00155B09">
        <w:t xml:space="preserve"> Değişiklik Yapılmasına Dair Tebliğ (Sıra No: 4)</w:t>
      </w:r>
      <w:r>
        <w:t xml:space="preserve">, 29 Mart 2025 tarihli ve 32856 sayılı </w:t>
      </w:r>
      <w:proofErr w:type="gramStart"/>
      <w:r>
        <w:t>Resmi</w:t>
      </w:r>
      <w:proofErr w:type="gramEnd"/>
      <w:r>
        <w:t xml:space="preserve"> </w:t>
      </w:r>
      <w:proofErr w:type="spellStart"/>
      <w:r>
        <w:t>Gazete’de</w:t>
      </w:r>
      <w:proofErr w:type="spellEnd"/>
      <w:r>
        <w:t xml:space="preserve"> yayımlanmıştır.</w:t>
      </w:r>
      <w:r w:rsidR="00D66670">
        <w:t xml:space="preserve"> </w:t>
      </w:r>
      <w:r w:rsidR="00524D68" w:rsidRPr="00B76FCB">
        <w:rPr>
          <w:b/>
          <w:bCs/>
        </w:rPr>
        <w:t>Yapılan</w:t>
      </w:r>
      <w:r w:rsidR="00524D68">
        <w:rPr>
          <w:b/>
          <w:bCs/>
        </w:rPr>
        <w:t xml:space="preserve"> en önemli değişiklik </w:t>
      </w:r>
      <w:r w:rsidR="00524D68" w:rsidRPr="00B76FCB">
        <w:rPr>
          <w:b/>
          <w:bCs/>
        </w:rPr>
        <w:t>bireysel olarak edinilen sıfır araçlara ilişkin Taşıt Tanıma Birimi (TTB) takma zorunluluğu</w:t>
      </w:r>
      <w:r w:rsidR="00524D68">
        <w:rPr>
          <w:b/>
          <w:bCs/>
        </w:rPr>
        <w:t xml:space="preserve">nun </w:t>
      </w:r>
      <w:r w:rsidR="00524D68" w:rsidRPr="00B76FCB">
        <w:rPr>
          <w:b/>
          <w:bCs/>
        </w:rPr>
        <w:t>kaldırılm</w:t>
      </w:r>
      <w:r w:rsidR="00524D68">
        <w:rPr>
          <w:b/>
          <w:bCs/>
        </w:rPr>
        <w:t>asıdır</w:t>
      </w:r>
      <w:r w:rsidR="00524D68" w:rsidRPr="00B76FCB">
        <w:rPr>
          <w:b/>
          <w:bCs/>
        </w:rPr>
        <w:t>.</w:t>
      </w:r>
      <w:r w:rsidR="00524D68">
        <w:rPr>
          <w:b/>
          <w:bCs/>
        </w:rPr>
        <w:t xml:space="preserve"> </w:t>
      </w:r>
    </w:p>
    <w:p w14:paraId="5BF11D5C" w14:textId="72793C29" w:rsidR="00155B09" w:rsidRDefault="00D66670" w:rsidP="00745452">
      <w:pPr>
        <w:jc w:val="both"/>
      </w:pPr>
      <w:r>
        <w:t>Y</w:t>
      </w:r>
      <w:r w:rsidR="009413B0">
        <w:t>ayımı tarihinde yürürlüğe giren söz konusu</w:t>
      </w:r>
      <w:r>
        <w:t xml:space="preserve"> değişiklikler aşağıdaki gibidir:</w:t>
      </w:r>
    </w:p>
    <w:p w14:paraId="1D28C103" w14:textId="04C38C0F" w:rsidR="00D66670" w:rsidRDefault="00234A8E" w:rsidP="00745452">
      <w:pPr>
        <w:jc w:val="both"/>
      </w:pPr>
      <w:r w:rsidRPr="00234A8E">
        <w:rPr>
          <w:b/>
          <w:bCs/>
        </w:rPr>
        <w:t>A-</w:t>
      </w:r>
      <w:r>
        <w:t xml:space="preserve"> </w:t>
      </w:r>
      <w:r w:rsidR="00D66670" w:rsidRPr="00D66670">
        <w:t>Ulusal Taşıt Tanıma Sistemi Uygulama Genel Tebliği (Sıra No:1)’</w:t>
      </w:r>
      <w:proofErr w:type="spellStart"/>
      <w:r>
        <w:t>n</w:t>
      </w:r>
      <w:r w:rsidR="00D66670" w:rsidRPr="00D66670">
        <w:t>in</w:t>
      </w:r>
      <w:proofErr w:type="spellEnd"/>
      <w:r w:rsidR="00D66670" w:rsidRPr="00D66670">
        <w:t> 5</w:t>
      </w:r>
      <w:r w:rsidR="00D66670">
        <w:t>’</w:t>
      </w:r>
      <w:r w:rsidR="00D66670" w:rsidRPr="00D66670">
        <w:t xml:space="preserve">inci maddesinin birinci fıkrasının (a) bendinde yer alan “tarihine” ibaresinden sonra gelmek üzere “(benzin veya motorin dışındaki bir </w:t>
      </w:r>
      <w:r w:rsidR="00D66670" w:rsidRPr="00D66670">
        <w:lastRenderedPageBreak/>
        <w:t>yakıt türünün tedarik edilmesi için kullanılan pompa ünitelerinde kullanılacak </w:t>
      </w:r>
      <w:proofErr w:type="spellStart"/>
      <w:r w:rsidR="00D66670" w:rsidRPr="00D66670">
        <w:t>TTO’ları</w:t>
      </w:r>
      <w:proofErr w:type="spellEnd"/>
      <w:r w:rsidR="00D66670" w:rsidRPr="00D66670">
        <w:t> 31/12/2025 tarihine)” ibaresi eklenmiştir.</w:t>
      </w:r>
      <w:r w:rsidR="00D66670">
        <w:t xml:space="preserve"> İlgili kısmın son hali aşağıdaki gibidir:</w:t>
      </w:r>
    </w:p>
    <w:p w14:paraId="1B46CBAF" w14:textId="77777777" w:rsidR="00D66670" w:rsidRPr="00234A8E" w:rsidRDefault="00D66670" w:rsidP="00234A8E">
      <w:pPr>
        <w:shd w:val="clear" w:color="auto" w:fill="F2F2F2" w:themeFill="background1" w:themeFillShade="F2"/>
        <w:jc w:val="both"/>
        <w:rPr>
          <w:i/>
          <w:iCs/>
          <w:sz w:val="20"/>
          <w:szCs w:val="20"/>
        </w:rPr>
      </w:pPr>
      <w:r w:rsidRPr="00234A8E">
        <w:rPr>
          <w:i/>
          <w:iCs/>
          <w:sz w:val="20"/>
          <w:szCs w:val="20"/>
        </w:rPr>
        <w:t>“(1) Akaryakıt pompa tabancalarına TTO takılması zorunluluğu getirilmiş olup, zorunluluğa ilişkin usul ve esaslar aşağıda belirtilmiştir:</w:t>
      </w:r>
    </w:p>
    <w:p w14:paraId="0600AA8E" w14:textId="1FE9BAD6" w:rsidR="00D66670" w:rsidRDefault="00D66670" w:rsidP="00234A8E">
      <w:pPr>
        <w:shd w:val="clear" w:color="auto" w:fill="F2F2F2" w:themeFill="background1" w:themeFillShade="F2"/>
        <w:jc w:val="both"/>
        <w:rPr>
          <w:i/>
          <w:iCs/>
          <w:sz w:val="20"/>
          <w:szCs w:val="20"/>
        </w:rPr>
      </w:pPr>
      <w:r w:rsidRPr="00D66670">
        <w:rPr>
          <w:i/>
          <w:iCs/>
          <w:sz w:val="20"/>
          <w:szCs w:val="20"/>
        </w:rPr>
        <w:t xml:space="preserve">a) Akaryakıt istasyonu işleten mükelleflerin, en az bir pompa ünitesinin tabanca aparatları üzerine nitelikleri Darphane tarafından belirlenen ve Darphane ya da yetkili firmalar tarafından üretilen </w:t>
      </w:r>
      <w:proofErr w:type="spellStart"/>
      <w:r w:rsidRPr="00D66670">
        <w:rPr>
          <w:i/>
          <w:iCs/>
          <w:sz w:val="20"/>
          <w:szCs w:val="20"/>
        </w:rPr>
        <w:t>TTO’ları</w:t>
      </w:r>
      <w:proofErr w:type="spellEnd"/>
      <w:r w:rsidRPr="00D66670">
        <w:rPr>
          <w:i/>
          <w:iCs/>
          <w:sz w:val="20"/>
          <w:szCs w:val="20"/>
        </w:rPr>
        <w:t xml:space="preserve"> temin ederek 31/</w:t>
      </w:r>
      <w:r w:rsidR="00234A8E" w:rsidRPr="00234A8E">
        <w:rPr>
          <w:i/>
          <w:iCs/>
          <w:sz w:val="20"/>
          <w:szCs w:val="20"/>
        </w:rPr>
        <w:t>01</w:t>
      </w:r>
      <w:r w:rsidRPr="00D66670">
        <w:rPr>
          <w:i/>
          <w:iCs/>
          <w:sz w:val="20"/>
          <w:szCs w:val="20"/>
        </w:rPr>
        <w:t>/202</w:t>
      </w:r>
      <w:r w:rsidR="00234A8E" w:rsidRPr="00234A8E">
        <w:rPr>
          <w:i/>
          <w:iCs/>
          <w:sz w:val="20"/>
          <w:szCs w:val="20"/>
        </w:rPr>
        <w:t>5</w:t>
      </w:r>
      <w:r w:rsidRPr="00D66670">
        <w:rPr>
          <w:i/>
          <w:iCs/>
          <w:sz w:val="20"/>
          <w:szCs w:val="20"/>
        </w:rPr>
        <w:t xml:space="preserve"> tarihine</w:t>
      </w:r>
      <w:r w:rsidR="00234A8E" w:rsidRPr="00234A8E">
        <w:rPr>
          <w:b/>
          <w:bCs/>
          <w:i/>
          <w:iCs/>
          <w:sz w:val="20"/>
          <w:szCs w:val="20"/>
        </w:rPr>
        <w:t>,</w:t>
      </w:r>
      <w:r w:rsidRPr="00D66670">
        <w:rPr>
          <w:b/>
          <w:bCs/>
          <w:i/>
          <w:iCs/>
          <w:sz w:val="20"/>
          <w:szCs w:val="20"/>
        </w:rPr>
        <w:t xml:space="preserve"> </w:t>
      </w:r>
      <w:r w:rsidRPr="00234A8E">
        <w:rPr>
          <w:b/>
          <w:bCs/>
          <w:i/>
          <w:iCs/>
          <w:sz w:val="20"/>
          <w:szCs w:val="20"/>
        </w:rPr>
        <w:t>benzin veya motorin dışındaki bir yakıt türünün tedarik edilmesi için kullanılan pompa ünitelerinde kullanılacak </w:t>
      </w:r>
      <w:proofErr w:type="spellStart"/>
      <w:r w:rsidRPr="00234A8E">
        <w:rPr>
          <w:b/>
          <w:bCs/>
          <w:i/>
          <w:iCs/>
          <w:sz w:val="20"/>
          <w:szCs w:val="20"/>
        </w:rPr>
        <w:t>TTO’ları</w:t>
      </w:r>
      <w:proofErr w:type="spellEnd"/>
      <w:r w:rsidRPr="00234A8E">
        <w:rPr>
          <w:b/>
          <w:bCs/>
          <w:i/>
          <w:iCs/>
          <w:sz w:val="20"/>
          <w:szCs w:val="20"/>
        </w:rPr>
        <w:t> 31/12/2025 tarihine</w:t>
      </w:r>
      <w:r w:rsidRPr="00234A8E">
        <w:rPr>
          <w:i/>
          <w:iCs/>
          <w:sz w:val="20"/>
          <w:szCs w:val="20"/>
        </w:rPr>
        <w:t xml:space="preserve"> </w:t>
      </w:r>
      <w:r w:rsidRPr="00D66670">
        <w:rPr>
          <w:i/>
          <w:iCs/>
          <w:sz w:val="20"/>
          <w:szCs w:val="20"/>
        </w:rPr>
        <w:t xml:space="preserve">kadar taktırmaları zorunludur. </w:t>
      </w:r>
      <w:proofErr w:type="spellStart"/>
      <w:r w:rsidRPr="00D66670">
        <w:rPr>
          <w:i/>
          <w:iCs/>
          <w:sz w:val="20"/>
          <w:szCs w:val="20"/>
        </w:rPr>
        <w:t>TTO’ların</w:t>
      </w:r>
      <w:proofErr w:type="spellEnd"/>
      <w:r w:rsidRPr="00D66670">
        <w:rPr>
          <w:i/>
          <w:iCs/>
          <w:sz w:val="20"/>
          <w:szCs w:val="20"/>
        </w:rPr>
        <w:t xml:space="preserve"> montaj işlemlerine ait süreçler Darphane tarafından belirlenecektir.</w:t>
      </w:r>
      <w:r w:rsidR="00234A8E" w:rsidRPr="00234A8E">
        <w:rPr>
          <w:i/>
          <w:iCs/>
          <w:sz w:val="20"/>
          <w:szCs w:val="20"/>
        </w:rPr>
        <w:t>”</w:t>
      </w:r>
    </w:p>
    <w:p w14:paraId="6219194A" w14:textId="08A58F1B" w:rsidR="00234A8E" w:rsidRDefault="00234A8E" w:rsidP="00234A8E">
      <w:pPr>
        <w:shd w:val="clear" w:color="auto" w:fill="FFFFFF" w:themeFill="background1"/>
        <w:jc w:val="both"/>
      </w:pPr>
      <w:r w:rsidRPr="00700228">
        <w:rPr>
          <w:b/>
          <w:bCs/>
        </w:rPr>
        <w:t>B-</w:t>
      </w:r>
      <w:r>
        <w:t xml:space="preserve"> </w:t>
      </w:r>
      <w:r w:rsidRPr="00D66670">
        <w:t>Ulusal Taşıt Tanıma Sistemi Uygulama Genel Tebliği (Sıra No:1)’</w:t>
      </w:r>
      <w:proofErr w:type="spellStart"/>
      <w:r w:rsidRPr="00D66670">
        <w:t>nin</w:t>
      </w:r>
      <w:proofErr w:type="spellEnd"/>
      <w:r w:rsidRPr="00D66670">
        <w:t> </w:t>
      </w:r>
      <w:r w:rsidRPr="00234A8E">
        <w:t>6</w:t>
      </w:r>
      <w:r>
        <w:t>’</w:t>
      </w:r>
      <w:r w:rsidRPr="00234A8E">
        <w:t>ncı maddesinin birinci fıkrasında yer alan “tarihine” ibaresinden sonra gelmek üzere “(birden fazla ya da benzin veya motorin dışındaki bir yakıt türüyle çalışan taşıtlarda benzin veya motorin dışındaki yakıt türüne ilişkin depo için 31/12/2025 tarihine)” ibaresi eklenmiş, aynı maddenin ikinci fıkrasında yer alan “1/7/2025 tarihinden itibaren ilk defa iktisap edilen 6/6/2002 tarihli ve 4760 sayılı Özel Tüketim Vergisi Kanununa ekli (II) sayılı listedeki mallardan kayıt ve tescile tabi olanlardan; motorlu araç ticareti yapanlardan kullanılmak üzere alınanlara motorlu araç ticareti yapan mükellefler tarafından kayıt ve tescil işlemi gerçekleştikten sonra trafiğe çıkmadan önce, kullanılmak üzere ithal edilenlere ise ithalatı yapanlar tarafından tescil işlemi gerçekleştikten sonra bir ay içerisinde, birinci” ibaresi “Birinci” şeklinde değiştirilmiş ve aynı fıkrada yer alan “taşıtlara ise 1/7/2025” ibaresi “taşıtlara 1/7/2025” şeklinde değiştirilmiştir.</w:t>
      </w:r>
    </w:p>
    <w:p w14:paraId="201AA316" w14:textId="19D06DED" w:rsidR="00234A8E" w:rsidRDefault="00234A8E" w:rsidP="00234A8E">
      <w:pPr>
        <w:shd w:val="clear" w:color="auto" w:fill="FFFFFF" w:themeFill="background1"/>
        <w:jc w:val="both"/>
      </w:pPr>
      <w:r>
        <w:t>İlgili kısmın son hali aşağıdaki gibidir:</w:t>
      </w:r>
    </w:p>
    <w:p w14:paraId="1A25C343" w14:textId="74352C2D" w:rsidR="00DF3EEC" w:rsidRPr="00DF3EEC" w:rsidRDefault="00DF3EEC" w:rsidP="00B76FCB">
      <w:pPr>
        <w:shd w:val="clear" w:color="auto" w:fill="F2F2F2" w:themeFill="background1" w:themeFillShade="F2"/>
        <w:jc w:val="both"/>
        <w:rPr>
          <w:i/>
          <w:iCs/>
          <w:sz w:val="20"/>
          <w:szCs w:val="20"/>
        </w:rPr>
      </w:pPr>
      <w:r w:rsidRPr="00B76FCB">
        <w:rPr>
          <w:i/>
          <w:iCs/>
          <w:sz w:val="20"/>
          <w:szCs w:val="20"/>
        </w:rPr>
        <w:t>Madde 6-</w:t>
      </w:r>
      <w:r w:rsidRPr="00DF3EEC">
        <w:rPr>
          <w:i/>
          <w:iCs/>
          <w:sz w:val="20"/>
          <w:szCs w:val="20"/>
        </w:rPr>
        <w:t> (1) Kiralama yoluyla edinilen veya işletmeye dâhil olan ve işte kullanılan taşıtlara 31/</w:t>
      </w:r>
      <w:r w:rsidRPr="00B76FCB">
        <w:rPr>
          <w:i/>
          <w:iCs/>
          <w:sz w:val="20"/>
          <w:szCs w:val="20"/>
        </w:rPr>
        <w:t>01</w:t>
      </w:r>
      <w:r w:rsidRPr="00DF3EEC">
        <w:rPr>
          <w:i/>
          <w:iCs/>
          <w:sz w:val="20"/>
          <w:szCs w:val="20"/>
        </w:rPr>
        <w:t>/202</w:t>
      </w:r>
      <w:r w:rsidRPr="00B76FCB">
        <w:rPr>
          <w:i/>
          <w:iCs/>
          <w:sz w:val="20"/>
          <w:szCs w:val="20"/>
        </w:rPr>
        <w:t>5</w:t>
      </w:r>
      <w:r w:rsidRPr="00DF3EEC">
        <w:rPr>
          <w:i/>
          <w:iCs/>
          <w:sz w:val="20"/>
          <w:szCs w:val="20"/>
        </w:rPr>
        <w:t xml:space="preserve"> tarihine</w:t>
      </w:r>
      <w:r w:rsidR="00EA121B" w:rsidRPr="00B76FCB">
        <w:rPr>
          <w:i/>
          <w:iCs/>
          <w:sz w:val="20"/>
          <w:szCs w:val="20"/>
        </w:rPr>
        <w:t>,</w:t>
      </w:r>
      <w:r w:rsidRPr="00DF3EEC">
        <w:rPr>
          <w:i/>
          <w:iCs/>
          <w:sz w:val="20"/>
          <w:szCs w:val="20"/>
        </w:rPr>
        <w:t xml:space="preserve"> </w:t>
      </w:r>
      <w:r w:rsidR="00EA121B" w:rsidRPr="00B76FCB">
        <w:rPr>
          <w:b/>
          <w:bCs/>
          <w:i/>
          <w:iCs/>
          <w:sz w:val="20"/>
          <w:szCs w:val="20"/>
        </w:rPr>
        <w:t>birden fazla ya da benzin veya motorin dışındaki bir yakıt türüyle çalışan taşıtlarda benzin veya motorin dışındaki yakıt türüne ilişkin depo için 31/12/2025 tarihine</w:t>
      </w:r>
      <w:r w:rsidR="00EA121B" w:rsidRPr="00B76FCB">
        <w:rPr>
          <w:i/>
          <w:iCs/>
          <w:sz w:val="20"/>
          <w:szCs w:val="20"/>
        </w:rPr>
        <w:t xml:space="preserve"> </w:t>
      </w:r>
      <w:r w:rsidRPr="00DF3EEC">
        <w:rPr>
          <w:i/>
          <w:iCs/>
          <w:sz w:val="20"/>
          <w:szCs w:val="20"/>
        </w:rPr>
        <w:t>kadar</w:t>
      </w:r>
      <w:r w:rsidRPr="00B76FCB">
        <w:rPr>
          <w:i/>
          <w:iCs/>
          <w:sz w:val="20"/>
          <w:szCs w:val="20"/>
        </w:rPr>
        <w:t>,</w:t>
      </w:r>
      <w:r w:rsidRPr="00DF3EEC">
        <w:rPr>
          <w:i/>
          <w:iCs/>
          <w:sz w:val="20"/>
          <w:szCs w:val="20"/>
        </w:rPr>
        <w:t xml:space="preserve"> </w:t>
      </w:r>
      <w:r w:rsidRPr="00B76FCB">
        <w:rPr>
          <w:i/>
          <w:iCs/>
          <w:sz w:val="20"/>
          <w:szCs w:val="20"/>
        </w:rPr>
        <w:t xml:space="preserve">bu tarihten sonra işte kullanılacak taşıtlara ise kullanmaya başlamadan önce </w:t>
      </w:r>
      <w:r w:rsidRPr="00DF3EEC">
        <w:rPr>
          <w:i/>
          <w:iCs/>
          <w:sz w:val="20"/>
          <w:szCs w:val="20"/>
        </w:rPr>
        <w:t>TTB takılması zorunluluğu getirilmiş olup, zorunluluğa ilişkin usul ve esaslar aşağıda belirtilmiştir.</w:t>
      </w:r>
    </w:p>
    <w:p w14:paraId="35C09A5C" w14:textId="35C6B7A9" w:rsidR="00DF3EEC" w:rsidRPr="00DF3EEC" w:rsidRDefault="00DF3EEC" w:rsidP="00B76FCB">
      <w:pPr>
        <w:shd w:val="clear" w:color="auto" w:fill="F2F2F2" w:themeFill="background1" w:themeFillShade="F2"/>
        <w:jc w:val="both"/>
        <w:rPr>
          <w:i/>
          <w:iCs/>
          <w:sz w:val="20"/>
          <w:szCs w:val="20"/>
        </w:rPr>
      </w:pPr>
      <w:r w:rsidRPr="00DF3EEC">
        <w:rPr>
          <w:i/>
          <w:iCs/>
          <w:sz w:val="20"/>
          <w:szCs w:val="20"/>
        </w:rPr>
        <w:t>a) Söz konusu taşıtların yakıt depo girişi üzerine</w:t>
      </w:r>
      <w:r w:rsidRPr="00B76FCB">
        <w:rPr>
          <w:i/>
          <w:iCs/>
          <w:sz w:val="20"/>
          <w:szCs w:val="20"/>
        </w:rPr>
        <w:t xml:space="preserve"> taşıt sahiplerince</w:t>
      </w:r>
      <w:r w:rsidRPr="00DF3EEC">
        <w:rPr>
          <w:i/>
          <w:iCs/>
          <w:sz w:val="20"/>
          <w:szCs w:val="20"/>
        </w:rPr>
        <w:t xml:space="preserve"> Darphane tarafından üretilen TTB’ler taktırılacaktır.</w:t>
      </w:r>
    </w:p>
    <w:p w14:paraId="38EE9E07" w14:textId="77777777" w:rsidR="00DF3EEC" w:rsidRPr="00DF3EEC" w:rsidRDefault="00DF3EEC" w:rsidP="00B76FCB">
      <w:pPr>
        <w:shd w:val="clear" w:color="auto" w:fill="F2F2F2" w:themeFill="background1" w:themeFillShade="F2"/>
        <w:jc w:val="both"/>
        <w:rPr>
          <w:i/>
          <w:iCs/>
          <w:sz w:val="20"/>
          <w:szCs w:val="20"/>
        </w:rPr>
      </w:pPr>
      <w:r w:rsidRPr="00DF3EEC">
        <w:rPr>
          <w:i/>
          <w:iCs/>
          <w:sz w:val="20"/>
          <w:szCs w:val="20"/>
        </w:rPr>
        <w:t>b) Darphane’den temin edilen TTB’lerin montaj işlemleri sadece Darphane tarafından yetkilendirilen firmalar tarafından yapılacaktır. TTB’lerin montaj işlemlerine ait süreçler Darphane tarafından belirlenecektir.</w:t>
      </w:r>
    </w:p>
    <w:p w14:paraId="35314DE2" w14:textId="77777777" w:rsidR="00DF3EEC" w:rsidRPr="00DF3EEC" w:rsidRDefault="00DF3EEC" w:rsidP="00B76FCB">
      <w:pPr>
        <w:shd w:val="clear" w:color="auto" w:fill="F2F2F2" w:themeFill="background1" w:themeFillShade="F2"/>
        <w:jc w:val="both"/>
        <w:rPr>
          <w:i/>
          <w:iCs/>
          <w:sz w:val="20"/>
          <w:szCs w:val="20"/>
        </w:rPr>
      </w:pPr>
      <w:r w:rsidRPr="00DF3EEC">
        <w:rPr>
          <w:i/>
          <w:iCs/>
          <w:sz w:val="20"/>
          <w:szCs w:val="20"/>
        </w:rPr>
        <w:t>c) Taşıtların sahiplik ve/veya plaka bilgisinin değişmesi durumunda TTB’ler yetkili firmalar tarafından değiştirilecektir.</w:t>
      </w:r>
    </w:p>
    <w:p w14:paraId="3F859AB0" w14:textId="77777777" w:rsidR="00DF3EEC" w:rsidRPr="00DF3EEC" w:rsidRDefault="00DF3EEC" w:rsidP="00B76FCB">
      <w:pPr>
        <w:shd w:val="clear" w:color="auto" w:fill="F2F2F2" w:themeFill="background1" w:themeFillShade="F2"/>
        <w:jc w:val="both"/>
        <w:rPr>
          <w:i/>
          <w:iCs/>
          <w:sz w:val="20"/>
          <w:szCs w:val="20"/>
        </w:rPr>
      </w:pPr>
      <w:proofErr w:type="gramStart"/>
      <w:r w:rsidRPr="00DF3EEC">
        <w:rPr>
          <w:i/>
          <w:iCs/>
          <w:sz w:val="20"/>
          <w:szCs w:val="20"/>
        </w:rPr>
        <w:t>ç</w:t>
      </w:r>
      <w:proofErr w:type="gramEnd"/>
      <w:r w:rsidRPr="00DF3EEC">
        <w:rPr>
          <w:i/>
          <w:iCs/>
          <w:sz w:val="20"/>
          <w:szCs w:val="20"/>
        </w:rPr>
        <w:t xml:space="preserve">) TTB’lerin yetkili firmalar aracılığıyla tanımlanması ve taşıtların yakıt depo girişlerine söküldüğünde çalışmayacak şekilde montajının yapılması gerekmektedir. Montaj işlemi sırasında Darphane tarafından belirlenen yöntemler kullanılarak taşıtın ruhsatnamesinde yer alan bilgiler ile diğer bilgilerden Başkanlıkça belirlenenler TTB’lere tanımlanacak ve bu bilgilerin </w:t>
      </w:r>
      <w:proofErr w:type="spellStart"/>
      <w:r w:rsidRPr="00DF3EEC">
        <w:rPr>
          <w:i/>
          <w:iCs/>
          <w:sz w:val="20"/>
          <w:szCs w:val="20"/>
        </w:rPr>
        <w:t>UTTS’ye</w:t>
      </w:r>
      <w:proofErr w:type="spellEnd"/>
      <w:r w:rsidRPr="00DF3EEC">
        <w:rPr>
          <w:i/>
          <w:iCs/>
          <w:sz w:val="20"/>
          <w:szCs w:val="20"/>
        </w:rPr>
        <w:t xml:space="preserve"> elektronik olarak bildirilmesi ile aktivasyon işlemleri tamamlanmış olacaktır.</w:t>
      </w:r>
    </w:p>
    <w:p w14:paraId="038C25A3" w14:textId="77777777" w:rsidR="00DF3EEC" w:rsidRPr="00DF3EEC" w:rsidRDefault="00DF3EEC" w:rsidP="00B76FCB">
      <w:pPr>
        <w:shd w:val="clear" w:color="auto" w:fill="F2F2F2" w:themeFill="background1" w:themeFillShade="F2"/>
        <w:jc w:val="both"/>
        <w:rPr>
          <w:i/>
          <w:iCs/>
          <w:sz w:val="20"/>
          <w:szCs w:val="20"/>
        </w:rPr>
      </w:pPr>
      <w:r w:rsidRPr="00DF3EEC">
        <w:rPr>
          <w:i/>
          <w:iCs/>
          <w:sz w:val="20"/>
          <w:szCs w:val="20"/>
        </w:rPr>
        <w:t xml:space="preserve">d) Sahiplik ve/veya plaka bilgisinin değişmesi ile zarar görme, bozulma gibi nedenlerle çalışmaması durumu hariç olmak üzere, TTB’ler taşıttan sökülmeyecektir. Söz konusu durumların oluşması halinde TTB’ler sadece yetkili firmalar tarafından taşıt üzerinden sökülecek ve yerine yeni tanımlanan TTB’ler takılacaktır. Yetkili firmalar tarafından sökülen TTB’ler tutanak ile tamir, değişim veya imha işlemine tabi tutulmak üzere alıkonacak ve yapılan işlemler tutanağa bağlandıktan sonra yetkili firmalar tarafından muhafaza edilerek </w:t>
      </w:r>
      <w:proofErr w:type="spellStart"/>
      <w:r w:rsidRPr="00DF3EEC">
        <w:rPr>
          <w:i/>
          <w:iCs/>
          <w:sz w:val="20"/>
          <w:szCs w:val="20"/>
        </w:rPr>
        <w:t>UTTS’ye</w:t>
      </w:r>
      <w:proofErr w:type="spellEnd"/>
      <w:r w:rsidRPr="00DF3EEC">
        <w:rPr>
          <w:i/>
          <w:iCs/>
          <w:sz w:val="20"/>
          <w:szCs w:val="20"/>
        </w:rPr>
        <w:t xml:space="preserve"> elektronik olarak bildirilecektir.</w:t>
      </w:r>
    </w:p>
    <w:p w14:paraId="328C8D92" w14:textId="77777777" w:rsidR="00DF3EEC" w:rsidRPr="00B76FCB" w:rsidRDefault="00DF3EEC" w:rsidP="00B76FCB">
      <w:pPr>
        <w:shd w:val="clear" w:color="auto" w:fill="F2F2F2" w:themeFill="background1" w:themeFillShade="F2"/>
        <w:jc w:val="both"/>
        <w:rPr>
          <w:i/>
          <w:iCs/>
          <w:sz w:val="20"/>
          <w:szCs w:val="20"/>
        </w:rPr>
      </w:pPr>
      <w:r w:rsidRPr="00DF3EEC">
        <w:rPr>
          <w:i/>
          <w:iCs/>
          <w:sz w:val="20"/>
          <w:szCs w:val="20"/>
        </w:rPr>
        <w:lastRenderedPageBreak/>
        <w:t xml:space="preserve">e) Aktivasyonu yapılmayan TTB’lerin çalınması veya yangın, su basması gibi çeşitli nedenlerle zayi olması veya kullanılamaz hale gelmesi durumunda, bu durumu gösteren belgelerle birlikte gerekli bilgiler yetkili firmalar tarafından muhafaza edilerek </w:t>
      </w:r>
      <w:proofErr w:type="spellStart"/>
      <w:r w:rsidRPr="00DF3EEC">
        <w:rPr>
          <w:i/>
          <w:iCs/>
          <w:sz w:val="20"/>
          <w:szCs w:val="20"/>
        </w:rPr>
        <w:t>UTTS’ye</w:t>
      </w:r>
      <w:proofErr w:type="spellEnd"/>
      <w:r w:rsidRPr="00DF3EEC">
        <w:rPr>
          <w:i/>
          <w:iCs/>
          <w:sz w:val="20"/>
          <w:szCs w:val="20"/>
        </w:rPr>
        <w:t xml:space="preserve"> elektronik olarak bildirilecektir.</w:t>
      </w:r>
    </w:p>
    <w:p w14:paraId="195B5C21" w14:textId="0C991A1B" w:rsidR="00DF3EEC" w:rsidRPr="00DF3EEC" w:rsidRDefault="00DF3EEC" w:rsidP="00B76FCB">
      <w:pPr>
        <w:shd w:val="clear" w:color="auto" w:fill="F2F2F2" w:themeFill="background1" w:themeFillShade="F2"/>
        <w:jc w:val="both"/>
        <w:rPr>
          <w:i/>
          <w:iCs/>
          <w:sz w:val="20"/>
          <w:szCs w:val="20"/>
        </w:rPr>
      </w:pPr>
      <w:r w:rsidRPr="00B76FCB">
        <w:rPr>
          <w:i/>
          <w:iCs/>
          <w:sz w:val="20"/>
          <w:szCs w:val="20"/>
        </w:rPr>
        <w:t>f) TTB’lerin güvenlik, iletişim, fonksiyon ve benzer</w:t>
      </w:r>
      <w:r w:rsidR="0059733C" w:rsidRPr="00B76FCB">
        <w:rPr>
          <w:i/>
          <w:iCs/>
          <w:sz w:val="20"/>
          <w:szCs w:val="20"/>
        </w:rPr>
        <w:t>i</w:t>
      </w:r>
      <w:r w:rsidRPr="00B76FCB">
        <w:rPr>
          <w:i/>
          <w:iCs/>
          <w:sz w:val="20"/>
          <w:szCs w:val="20"/>
        </w:rPr>
        <w:t xml:space="preserve"> tüm özellikler</w:t>
      </w:r>
      <w:r w:rsidR="0059733C" w:rsidRPr="00B76FCB">
        <w:rPr>
          <w:i/>
          <w:iCs/>
          <w:sz w:val="20"/>
          <w:szCs w:val="20"/>
        </w:rPr>
        <w:t>i</w:t>
      </w:r>
      <w:r w:rsidRPr="00B76FCB">
        <w:rPr>
          <w:i/>
          <w:iCs/>
          <w:sz w:val="20"/>
          <w:szCs w:val="20"/>
        </w:rPr>
        <w:t xml:space="preserve"> ile çalışma yöntemi gibi hususlar Darphane tarafından belirlenecektir. Birden fazla ya da benzin veya motorin dışındaki bir yakıt türüyle çalışan taşıtlara takılacak TTB’lerin özellikleri ve montaj yeri, teknik çözümler ve yöntemlere ilişkin hususlar ile montaj işlemlerine ait süreçler Darphane tarafından ayrıca belirlenebilecektir.</w:t>
      </w:r>
    </w:p>
    <w:p w14:paraId="06A62630" w14:textId="4C2E972C" w:rsidR="00DF3EEC" w:rsidRPr="00B76FCB" w:rsidRDefault="00DF3EEC" w:rsidP="00B76FCB">
      <w:pPr>
        <w:shd w:val="clear" w:color="auto" w:fill="F2F2F2" w:themeFill="background1" w:themeFillShade="F2"/>
        <w:jc w:val="both"/>
        <w:rPr>
          <w:i/>
          <w:iCs/>
          <w:sz w:val="20"/>
          <w:szCs w:val="20"/>
        </w:rPr>
      </w:pPr>
      <w:r w:rsidRPr="00B76FCB">
        <w:rPr>
          <w:i/>
          <w:iCs/>
          <w:sz w:val="20"/>
          <w:szCs w:val="20"/>
        </w:rPr>
        <w:t xml:space="preserve">(2) </w:t>
      </w:r>
      <w:r w:rsidR="00EA121B" w:rsidRPr="00B76FCB">
        <w:rPr>
          <w:i/>
          <w:iCs/>
          <w:sz w:val="20"/>
          <w:szCs w:val="20"/>
        </w:rPr>
        <w:t xml:space="preserve">Birinci </w:t>
      </w:r>
      <w:r w:rsidRPr="00B76FCB">
        <w:rPr>
          <w:i/>
          <w:iCs/>
          <w:sz w:val="20"/>
          <w:szCs w:val="20"/>
        </w:rPr>
        <w:t>fıkra kapsamında yer almayan ve taşıt tanıma s</w:t>
      </w:r>
      <w:r w:rsidR="005F20F5" w:rsidRPr="00B76FCB">
        <w:rPr>
          <w:i/>
          <w:iCs/>
          <w:sz w:val="20"/>
          <w:szCs w:val="20"/>
        </w:rPr>
        <w:t>i</w:t>
      </w:r>
      <w:r w:rsidRPr="00B76FCB">
        <w:rPr>
          <w:i/>
          <w:iCs/>
          <w:sz w:val="20"/>
          <w:szCs w:val="20"/>
        </w:rPr>
        <w:t>stem</w:t>
      </w:r>
      <w:r w:rsidR="005F20F5" w:rsidRPr="00B76FCB">
        <w:rPr>
          <w:i/>
          <w:iCs/>
          <w:sz w:val="20"/>
          <w:szCs w:val="20"/>
        </w:rPr>
        <w:t>i</w:t>
      </w:r>
      <w:r w:rsidRPr="00B76FCB">
        <w:rPr>
          <w:i/>
          <w:iCs/>
          <w:sz w:val="20"/>
          <w:szCs w:val="20"/>
        </w:rPr>
        <w:t xml:space="preserve"> kullanan taşıtlara </w:t>
      </w:r>
      <w:r w:rsidR="005F20F5" w:rsidRPr="00B76FCB">
        <w:rPr>
          <w:i/>
          <w:iCs/>
          <w:sz w:val="20"/>
          <w:szCs w:val="20"/>
        </w:rPr>
        <w:t>i</w:t>
      </w:r>
      <w:r w:rsidRPr="00B76FCB">
        <w:rPr>
          <w:i/>
          <w:iCs/>
          <w:sz w:val="20"/>
          <w:szCs w:val="20"/>
        </w:rPr>
        <w:t>se 1/7/2025 tar</w:t>
      </w:r>
      <w:r w:rsidR="005F20F5" w:rsidRPr="00B76FCB">
        <w:rPr>
          <w:i/>
          <w:iCs/>
          <w:sz w:val="20"/>
          <w:szCs w:val="20"/>
        </w:rPr>
        <w:t>i</w:t>
      </w:r>
      <w:r w:rsidRPr="00B76FCB">
        <w:rPr>
          <w:i/>
          <w:iCs/>
          <w:sz w:val="20"/>
          <w:szCs w:val="20"/>
        </w:rPr>
        <w:t>h</w:t>
      </w:r>
      <w:r w:rsidR="005F20F5" w:rsidRPr="00B76FCB">
        <w:rPr>
          <w:i/>
          <w:iCs/>
          <w:sz w:val="20"/>
          <w:szCs w:val="20"/>
        </w:rPr>
        <w:t>i</w:t>
      </w:r>
      <w:r w:rsidRPr="00B76FCB">
        <w:rPr>
          <w:i/>
          <w:iCs/>
          <w:sz w:val="20"/>
          <w:szCs w:val="20"/>
        </w:rPr>
        <w:t xml:space="preserve">nden </w:t>
      </w:r>
      <w:r w:rsidR="005F20F5" w:rsidRPr="00B76FCB">
        <w:rPr>
          <w:i/>
          <w:iCs/>
          <w:sz w:val="20"/>
          <w:szCs w:val="20"/>
        </w:rPr>
        <w:t>i</w:t>
      </w:r>
      <w:r w:rsidRPr="00B76FCB">
        <w:rPr>
          <w:i/>
          <w:iCs/>
          <w:sz w:val="20"/>
          <w:szCs w:val="20"/>
        </w:rPr>
        <w:t>t</w:t>
      </w:r>
      <w:r w:rsidR="005F20F5" w:rsidRPr="00B76FCB">
        <w:rPr>
          <w:i/>
          <w:iCs/>
          <w:sz w:val="20"/>
          <w:szCs w:val="20"/>
        </w:rPr>
        <w:t>i</w:t>
      </w:r>
      <w:r w:rsidRPr="00B76FCB">
        <w:rPr>
          <w:i/>
          <w:iCs/>
          <w:sz w:val="20"/>
          <w:szCs w:val="20"/>
        </w:rPr>
        <w:t>baren, bu tar</w:t>
      </w:r>
      <w:r w:rsidR="005F20F5" w:rsidRPr="00B76FCB">
        <w:rPr>
          <w:i/>
          <w:iCs/>
          <w:sz w:val="20"/>
          <w:szCs w:val="20"/>
        </w:rPr>
        <w:t>i</w:t>
      </w:r>
      <w:r w:rsidRPr="00B76FCB">
        <w:rPr>
          <w:i/>
          <w:iCs/>
          <w:sz w:val="20"/>
          <w:szCs w:val="20"/>
        </w:rPr>
        <w:t>hten sonra taşıt tanıma s</w:t>
      </w:r>
      <w:r w:rsidR="005F20F5" w:rsidRPr="00B76FCB">
        <w:rPr>
          <w:i/>
          <w:iCs/>
          <w:sz w:val="20"/>
          <w:szCs w:val="20"/>
        </w:rPr>
        <w:t>i</w:t>
      </w:r>
      <w:r w:rsidRPr="00B76FCB">
        <w:rPr>
          <w:i/>
          <w:iCs/>
          <w:sz w:val="20"/>
          <w:szCs w:val="20"/>
        </w:rPr>
        <w:t>stem</w:t>
      </w:r>
      <w:r w:rsidR="005F20F5" w:rsidRPr="00B76FCB">
        <w:rPr>
          <w:i/>
          <w:iCs/>
          <w:sz w:val="20"/>
          <w:szCs w:val="20"/>
        </w:rPr>
        <w:t>i</w:t>
      </w:r>
      <w:r w:rsidRPr="00B76FCB">
        <w:rPr>
          <w:i/>
          <w:iCs/>
          <w:sz w:val="20"/>
          <w:szCs w:val="20"/>
        </w:rPr>
        <w:t xml:space="preserve"> kullanacaklara </w:t>
      </w:r>
      <w:r w:rsidR="005F20F5" w:rsidRPr="00B76FCB">
        <w:rPr>
          <w:i/>
          <w:iCs/>
          <w:sz w:val="20"/>
          <w:szCs w:val="20"/>
        </w:rPr>
        <w:t>i</w:t>
      </w:r>
      <w:r w:rsidRPr="00B76FCB">
        <w:rPr>
          <w:i/>
          <w:iCs/>
          <w:sz w:val="20"/>
          <w:szCs w:val="20"/>
        </w:rPr>
        <w:t>se kullanılmaya başlanmadan önce TTB takılması zorunluluğu get</w:t>
      </w:r>
      <w:r w:rsidR="005F20F5" w:rsidRPr="00B76FCB">
        <w:rPr>
          <w:i/>
          <w:iCs/>
          <w:sz w:val="20"/>
          <w:szCs w:val="20"/>
        </w:rPr>
        <w:t>i</w:t>
      </w:r>
      <w:r w:rsidRPr="00B76FCB">
        <w:rPr>
          <w:i/>
          <w:iCs/>
          <w:sz w:val="20"/>
          <w:szCs w:val="20"/>
        </w:rPr>
        <w:t>r</w:t>
      </w:r>
      <w:r w:rsidR="005F20F5" w:rsidRPr="00B76FCB">
        <w:rPr>
          <w:i/>
          <w:iCs/>
          <w:sz w:val="20"/>
          <w:szCs w:val="20"/>
        </w:rPr>
        <w:t>i</w:t>
      </w:r>
      <w:r w:rsidRPr="00B76FCB">
        <w:rPr>
          <w:i/>
          <w:iCs/>
          <w:sz w:val="20"/>
          <w:szCs w:val="20"/>
        </w:rPr>
        <w:t>lm</w:t>
      </w:r>
      <w:r w:rsidR="005F20F5" w:rsidRPr="00B76FCB">
        <w:rPr>
          <w:i/>
          <w:iCs/>
          <w:sz w:val="20"/>
          <w:szCs w:val="20"/>
        </w:rPr>
        <w:t>i</w:t>
      </w:r>
      <w:r w:rsidRPr="00B76FCB">
        <w:rPr>
          <w:i/>
          <w:iCs/>
          <w:sz w:val="20"/>
          <w:szCs w:val="20"/>
        </w:rPr>
        <w:t xml:space="preserve">ş olup, bu zorunluluk </w:t>
      </w:r>
      <w:r w:rsidR="005F20F5" w:rsidRPr="00B76FCB">
        <w:rPr>
          <w:i/>
          <w:iCs/>
          <w:sz w:val="20"/>
          <w:szCs w:val="20"/>
        </w:rPr>
        <w:t>i</w:t>
      </w:r>
      <w:r w:rsidRPr="00B76FCB">
        <w:rPr>
          <w:i/>
          <w:iCs/>
          <w:sz w:val="20"/>
          <w:szCs w:val="20"/>
        </w:rPr>
        <w:t>ç</w:t>
      </w:r>
      <w:r w:rsidR="005F20F5" w:rsidRPr="00B76FCB">
        <w:rPr>
          <w:i/>
          <w:iCs/>
          <w:sz w:val="20"/>
          <w:szCs w:val="20"/>
        </w:rPr>
        <w:t>i</w:t>
      </w:r>
      <w:r w:rsidRPr="00B76FCB">
        <w:rPr>
          <w:i/>
          <w:iCs/>
          <w:sz w:val="20"/>
          <w:szCs w:val="20"/>
        </w:rPr>
        <w:t>n b</w:t>
      </w:r>
      <w:r w:rsidR="005F20F5" w:rsidRPr="00B76FCB">
        <w:rPr>
          <w:i/>
          <w:iCs/>
          <w:sz w:val="20"/>
          <w:szCs w:val="20"/>
        </w:rPr>
        <w:t>i</w:t>
      </w:r>
      <w:r w:rsidRPr="00B76FCB">
        <w:rPr>
          <w:i/>
          <w:iCs/>
          <w:sz w:val="20"/>
          <w:szCs w:val="20"/>
        </w:rPr>
        <w:t>r</w:t>
      </w:r>
      <w:r w:rsidR="005F20F5" w:rsidRPr="00B76FCB">
        <w:rPr>
          <w:i/>
          <w:iCs/>
          <w:sz w:val="20"/>
          <w:szCs w:val="20"/>
        </w:rPr>
        <w:t>i</w:t>
      </w:r>
      <w:r w:rsidRPr="00B76FCB">
        <w:rPr>
          <w:i/>
          <w:iCs/>
          <w:sz w:val="20"/>
          <w:szCs w:val="20"/>
        </w:rPr>
        <w:t>nc</w:t>
      </w:r>
      <w:r w:rsidR="005F20F5" w:rsidRPr="00B76FCB">
        <w:rPr>
          <w:i/>
          <w:iCs/>
          <w:sz w:val="20"/>
          <w:szCs w:val="20"/>
        </w:rPr>
        <w:t>i</w:t>
      </w:r>
      <w:r w:rsidRPr="00B76FCB">
        <w:rPr>
          <w:i/>
          <w:iCs/>
          <w:sz w:val="20"/>
          <w:szCs w:val="20"/>
        </w:rPr>
        <w:t xml:space="preserve"> fıkrada yer alan usul ve esaslar uygulanır. Söz konusu taşıtların, b</w:t>
      </w:r>
      <w:r w:rsidR="005F20F5" w:rsidRPr="00B76FCB">
        <w:rPr>
          <w:i/>
          <w:iCs/>
          <w:sz w:val="20"/>
          <w:szCs w:val="20"/>
        </w:rPr>
        <w:t>i</w:t>
      </w:r>
      <w:r w:rsidRPr="00B76FCB">
        <w:rPr>
          <w:i/>
          <w:iCs/>
          <w:sz w:val="20"/>
          <w:szCs w:val="20"/>
        </w:rPr>
        <w:t>r</w:t>
      </w:r>
      <w:r w:rsidR="005F20F5" w:rsidRPr="00B76FCB">
        <w:rPr>
          <w:i/>
          <w:iCs/>
          <w:sz w:val="20"/>
          <w:szCs w:val="20"/>
        </w:rPr>
        <w:t>i</w:t>
      </w:r>
      <w:r w:rsidRPr="00B76FCB">
        <w:rPr>
          <w:i/>
          <w:iCs/>
          <w:sz w:val="20"/>
          <w:szCs w:val="20"/>
        </w:rPr>
        <w:t>nc</w:t>
      </w:r>
      <w:r w:rsidR="005F20F5" w:rsidRPr="00B76FCB">
        <w:rPr>
          <w:i/>
          <w:iCs/>
          <w:sz w:val="20"/>
          <w:szCs w:val="20"/>
        </w:rPr>
        <w:t>i</w:t>
      </w:r>
      <w:r w:rsidRPr="00B76FCB">
        <w:rPr>
          <w:i/>
          <w:iCs/>
          <w:sz w:val="20"/>
          <w:szCs w:val="20"/>
        </w:rPr>
        <w:t xml:space="preserve"> fıkranın b</w:t>
      </w:r>
      <w:r w:rsidR="005F20F5" w:rsidRPr="00B76FCB">
        <w:rPr>
          <w:i/>
          <w:iCs/>
          <w:sz w:val="20"/>
          <w:szCs w:val="20"/>
        </w:rPr>
        <w:t>i</w:t>
      </w:r>
      <w:r w:rsidRPr="00B76FCB">
        <w:rPr>
          <w:i/>
          <w:iCs/>
          <w:sz w:val="20"/>
          <w:szCs w:val="20"/>
        </w:rPr>
        <w:t>r</w:t>
      </w:r>
      <w:r w:rsidR="005F20F5" w:rsidRPr="00B76FCB">
        <w:rPr>
          <w:i/>
          <w:iCs/>
          <w:sz w:val="20"/>
          <w:szCs w:val="20"/>
        </w:rPr>
        <w:t>i</w:t>
      </w:r>
      <w:r w:rsidRPr="00B76FCB">
        <w:rPr>
          <w:i/>
          <w:iCs/>
          <w:sz w:val="20"/>
          <w:szCs w:val="20"/>
        </w:rPr>
        <w:t>nc</w:t>
      </w:r>
      <w:r w:rsidR="005F20F5" w:rsidRPr="00B76FCB">
        <w:rPr>
          <w:i/>
          <w:iCs/>
          <w:sz w:val="20"/>
          <w:szCs w:val="20"/>
        </w:rPr>
        <w:t>i</w:t>
      </w:r>
      <w:r w:rsidRPr="00B76FCB">
        <w:rPr>
          <w:i/>
          <w:iCs/>
          <w:sz w:val="20"/>
          <w:szCs w:val="20"/>
        </w:rPr>
        <w:t xml:space="preserve"> cümles</w:t>
      </w:r>
      <w:r w:rsidR="005F20F5" w:rsidRPr="00B76FCB">
        <w:rPr>
          <w:i/>
          <w:iCs/>
          <w:sz w:val="20"/>
          <w:szCs w:val="20"/>
        </w:rPr>
        <w:t>i</w:t>
      </w:r>
      <w:r w:rsidRPr="00B76FCB">
        <w:rPr>
          <w:i/>
          <w:iCs/>
          <w:sz w:val="20"/>
          <w:szCs w:val="20"/>
        </w:rPr>
        <w:t xml:space="preserve">nde </w:t>
      </w:r>
      <w:r w:rsidR="005F20F5" w:rsidRPr="00B76FCB">
        <w:rPr>
          <w:i/>
          <w:iCs/>
          <w:sz w:val="20"/>
          <w:szCs w:val="20"/>
        </w:rPr>
        <w:t>i</w:t>
      </w:r>
      <w:r w:rsidRPr="00B76FCB">
        <w:rPr>
          <w:i/>
          <w:iCs/>
          <w:sz w:val="20"/>
          <w:szCs w:val="20"/>
        </w:rPr>
        <w:t>fade ed</w:t>
      </w:r>
      <w:r w:rsidR="005F20F5" w:rsidRPr="00B76FCB">
        <w:rPr>
          <w:i/>
          <w:iCs/>
          <w:sz w:val="20"/>
          <w:szCs w:val="20"/>
        </w:rPr>
        <w:t>i</w:t>
      </w:r>
      <w:r w:rsidRPr="00B76FCB">
        <w:rPr>
          <w:i/>
          <w:iCs/>
          <w:sz w:val="20"/>
          <w:szCs w:val="20"/>
        </w:rPr>
        <w:t>len taşıtların sah</w:t>
      </w:r>
      <w:r w:rsidR="005F20F5" w:rsidRPr="00B76FCB">
        <w:rPr>
          <w:i/>
          <w:iCs/>
          <w:sz w:val="20"/>
          <w:szCs w:val="20"/>
        </w:rPr>
        <w:t>i</w:t>
      </w:r>
      <w:r w:rsidRPr="00B76FCB">
        <w:rPr>
          <w:i/>
          <w:iCs/>
          <w:sz w:val="20"/>
          <w:szCs w:val="20"/>
        </w:rPr>
        <w:t>pler</w:t>
      </w:r>
      <w:r w:rsidR="005F20F5" w:rsidRPr="00B76FCB">
        <w:rPr>
          <w:i/>
          <w:iCs/>
          <w:sz w:val="20"/>
          <w:szCs w:val="20"/>
        </w:rPr>
        <w:t>i</w:t>
      </w:r>
      <w:r w:rsidRPr="00B76FCB">
        <w:rPr>
          <w:i/>
          <w:iCs/>
          <w:sz w:val="20"/>
          <w:szCs w:val="20"/>
        </w:rPr>
        <w:t xml:space="preserve"> veya bunları kullananlar dışındak</w:t>
      </w:r>
      <w:r w:rsidR="005F20F5" w:rsidRPr="00B76FCB">
        <w:rPr>
          <w:i/>
          <w:iCs/>
          <w:sz w:val="20"/>
          <w:szCs w:val="20"/>
        </w:rPr>
        <w:t>i</w:t>
      </w:r>
      <w:r w:rsidRPr="00B76FCB">
        <w:rPr>
          <w:i/>
          <w:iCs/>
          <w:sz w:val="20"/>
          <w:szCs w:val="20"/>
        </w:rPr>
        <w:t>lere devr</w:t>
      </w:r>
      <w:r w:rsidR="005F20F5" w:rsidRPr="00B76FCB">
        <w:rPr>
          <w:i/>
          <w:iCs/>
          <w:sz w:val="20"/>
          <w:szCs w:val="20"/>
        </w:rPr>
        <w:t>i</w:t>
      </w:r>
      <w:r w:rsidRPr="00B76FCB">
        <w:rPr>
          <w:i/>
          <w:iCs/>
          <w:sz w:val="20"/>
          <w:szCs w:val="20"/>
        </w:rPr>
        <w:t>nde, taşıtta bulunan TTB’ler</w:t>
      </w:r>
      <w:r w:rsidR="005F20F5" w:rsidRPr="00B76FCB">
        <w:rPr>
          <w:i/>
          <w:iCs/>
          <w:sz w:val="20"/>
          <w:szCs w:val="20"/>
        </w:rPr>
        <w:t>i</w:t>
      </w:r>
      <w:r w:rsidRPr="00B76FCB">
        <w:rPr>
          <w:i/>
          <w:iCs/>
          <w:sz w:val="20"/>
          <w:szCs w:val="20"/>
        </w:rPr>
        <w:t>n değ</w:t>
      </w:r>
      <w:r w:rsidR="005F20F5" w:rsidRPr="00B76FCB">
        <w:rPr>
          <w:i/>
          <w:iCs/>
          <w:sz w:val="20"/>
          <w:szCs w:val="20"/>
        </w:rPr>
        <w:t>i</w:t>
      </w:r>
      <w:r w:rsidRPr="00B76FCB">
        <w:rPr>
          <w:i/>
          <w:iCs/>
          <w:sz w:val="20"/>
          <w:szCs w:val="20"/>
        </w:rPr>
        <w:t>şmes</w:t>
      </w:r>
      <w:r w:rsidR="005F20F5" w:rsidRPr="00B76FCB">
        <w:rPr>
          <w:i/>
          <w:iCs/>
          <w:sz w:val="20"/>
          <w:szCs w:val="20"/>
        </w:rPr>
        <w:t>i</w:t>
      </w:r>
      <w:r w:rsidRPr="00B76FCB">
        <w:rPr>
          <w:i/>
          <w:iCs/>
          <w:sz w:val="20"/>
          <w:szCs w:val="20"/>
        </w:rPr>
        <w:t>ne gerek bulunmamaktadır.</w:t>
      </w:r>
    </w:p>
    <w:p w14:paraId="2E942630" w14:textId="1A5154C6" w:rsidR="00DF3EEC" w:rsidRPr="00B76FCB" w:rsidRDefault="00DF3EEC" w:rsidP="00B76FCB">
      <w:pPr>
        <w:shd w:val="clear" w:color="auto" w:fill="F2F2F2" w:themeFill="background1" w:themeFillShade="F2"/>
        <w:jc w:val="both"/>
        <w:rPr>
          <w:i/>
          <w:iCs/>
          <w:sz w:val="20"/>
          <w:szCs w:val="20"/>
        </w:rPr>
      </w:pPr>
      <w:r w:rsidRPr="00B76FCB">
        <w:rPr>
          <w:i/>
          <w:iCs/>
          <w:sz w:val="20"/>
          <w:szCs w:val="20"/>
        </w:rPr>
        <w:t xml:space="preserve">(3) 5/1/1961 </w:t>
      </w:r>
      <w:proofErr w:type="spellStart"/>
      <w:r w:rsidRPr="00B76FCB">
        <w:rPr>
          <w:i/>
          <w:iCs/>
          <w:sz w:val="20"/>
          <w:szCs w:val="20"/>
        </w:rPr>
        <w:t>tarhl</w:t>
      </w:r>
      <w:r w:rsidR="005F20F5" w:rsidRPr="00B76FCB">
        <w:rPr>
          <w:i/>
          <w:iCs/>
          <w:sz w:val="20"/>
          <w:szCs w:val="20"/>
        </w:rPr>
        <w:t>i</w:t>
      </w:r>
      <w:proofErr w:type="spellEnd"/>
      <w:r w:rsidRPr="00B76FCB">
        <w:rPr>
          <w:i/>
          <w:iCs/>
          <w:sz w:val="20"/>
          <w:szCs w:val="20"/>
        </w:rPr>
        <w:t xml:space="preserve"> ve 237 sayılı Taşıt Kanunu</w:t>
      </w:r>
      <w:r w:rsidR="00EA121B" w:rsidRPr="00B76FCB">
        <w:rPr>
          <w:i/>
          <w:iCs/>
          <w:sz w:val="20"/>
          <w:szCs w:val="20"/>
        </w:rPr>
        <w:t>’</w:t>
      </w:r>
      <w:r w:rsidRPr="00B76FCB">
        <w:rPr>
          <w:i/>
          <w:iCs/>
          <w:sz w:val="20"/>
          <w:szCs w:val="20"/>
        </w:rPr>
        <w:t>nun 1</w:t>
      </w:r>
      <w:r w:rsidR="00EA5287" w:rsidRPr="00B76FCB">
        <w:rPr>
          <w:i/>
          <w:iCs/>
          <w:sz w:val="20"/>
          <w:szCs w:val="20"/>
        </w:rPr>
        <w:t>’</w:t>
      </w:r>
      <w:r w:rsidRPr="00B76FCB">
        <w:rPr>
          <w:i/>
          <w:iCs/>
          <w:sz w:val="20"/>
          <w:szCs w:val="20"/>
        </w:rPr>
        <w:t>nc</w:t>
      </w:r>
      <w:r w:rsidR="00EA5287" w:rsidRPr="00B76FCB">
        <w:rPr>
          <w:i/>
          <w:iCs/>
          <w:sz w:val="20"/>
          <w:szCs w:val="20"/>
        </w:rPr>
        <w:t>i</w:t>
      </w:r>
      <w:r w:rsidRPr="00B76FCB">
        <w:rPr>
          <w:i/>
          <w:iCs/>
          <w:sz w:val="20"/>
          <w:szCs w:val="20"/>
        </w:rPr>
        <w:t xml:space="preserve"> maddes</w:t>
      </w:r>
      <w:r w:rsidR="00EA5287" w:rsidRPr="00B76FCB">
        <w:rPr>
          <w:i/>
          <w:iCs/>
          <w:sz w:val="20"/>
          <w:szCs w:val="20"/>
        </w:rPr>
        <w:t>i</w:t>
      </w:r>
      <w:r w:rsidRPr="00B76FCB">
        <w:rPr>
          <w:i/>
          <w:iCs/>
          <w:sz w:val="20"/>
          <w:szCs w:val="20"/>
        </w:rPr>
        <w:t>n</w:t>
      </w:r>
      <w:r w:rsidR="00EA5287" w:rsidRPr="00B76FCB">
        <w:rPr>
          <w:i/>
          <w:iCs/>
          <w:sz w:val="20"/>
          <w:szCs w:val="20"/>
        </w:rPr>
        <w:t>i</w:t>
      </w:r>
      <w:r w:rsidRPr="00B76FCB">
        <w:rPr>
          <w:i/>
          <w:iCs/>
          <w:sz w:val="20"/>
          <w:szCs w:val="20"/>
        </w:rPr>
        <w:t>n (a) fıkrasında bel</w:t>
      </w:r>
      <w:r w:rsidR="00EA5287" w:rsidRPr="00B76FCB">
        <w:rPr>
          <w:i/>
          <w:iCs/>
          <w:sz w:val="20"/>
          <w:szCs w:val="20"/>
        </w:rPr>
        <w:t>i</w:t>
      </w:r>
      <w:r w:rsidRPr="00B76FCB">
        <w:rPr>
          <w:i/>
          <w:iCs/>
          <w:sz w:val="20"/>
          <w:szCs w:val="20"/>
        </w:rPr>
        <w:t>rt</w:t>
      </w:r>
      <w:r w:rsidR="00EA5287" w:rsidRPr="00B76FCB">
        <w:rPr>
          <w:i/>
          <w:iCs/>
          <w:sz w:val="20"/>
          <w:szCs w:val="20"/>
        </w:rPr>
        <w:t>i</w:t>
      </w:r>
      <w:r w:rsidRPr="00B76FCB">
        <w:rPr>
          <w:i/>
          <w:iCs/>
          <w:sz w:val="20"/>
          <w:szCs w:val="20"/>
        </w:rPr>
        <w:t>len genel bütçeye dâh</w:t>
      </w:r>
      <w:r w:rsidR="00EA5287" w:rsidRPr="00B76FCB">
        <w:rPr>
          <w:i/>
          <w:iCs/>
          <w:sz w:val="20"/>
          <w:szCs w:val="20"/>
        </w:rPr>
        <w:t>i</w:t>
      </w:r>
      <w:r w:rsidRPr="00B76FCB">
        <w:rPr>
          <w:i/>
          <w:iCs/>
          <w:sz w:val="20"/>
          <w:szCs w:val="20"/>
        </w:rPr>
        <w:t xml:space="preserve">l </w:t>
      </w:r>
      <w:r w:rsidR="00EA5287" w:rsidRPr="00B76FCB">
        <w:rPr>
          <w:i/>
          <w:iCs/>
          <w:sz w:val="20"/>
          <w:szCs w:val="20"/>
        </w:rPr>
        <w:t>i</w:t>
      </w:r>
      <w:r w:rsidRPr="00B76FCB">
        <w:rPr>
          <w:i/>
          <w:iCs/>
          <w:sz w:val="20"/>
          <w:szCs w:val="20"/>
        </w:rPr>
        <w:t>darelerle, özel bütçel</w:t>
      </w:r>
      <w:r w:rsidR="00EA5287" w:rsidRPr="00B76FCB">
        <w:rPr>
          <w:i/>
          <w:iCs/>
          <w:sz w:val="20"/>
          <w:szCs w:val="20"/>
        </w:rPr>
        <w:t>i</w:t>
      </w:r>
      <w:r w:rsidRPr="00B76FCB">
        <w:rPr>
          <w:i/>
          <w:iCs/>
          <w:sz w:val="20"/>
          <w:szCs w:val="20"/>
        </w:rPr>
        <w:t xml:space="preserve"> </w:t>
      </w:r>
      <w:r w:rsidR="00EA5287" w:rsidRPr="00B76FCB">
        <w:rPr>
          <w:i/>
          <w:iCs/>
          <w:sz w:val="20"/>
          <w:szCs w:val="20"/>
        </w:rPr>
        <w:t>i</w:t>
      </w:r>
      <w:r w:rsidRPr="00B76FCB">
        <w:rPr>
          <w:i/>
          <w:iCs/>
          <w:sz w:val="20"/>
          <w:szCs w:val="20"/>
        </w:rPr>
        <w:t>dareler ve bunlara bağlı sab</w:t>
      </w:r>
      <w:r w:rsidR="00EA5287" w:rsidRPr="00B76FCB">
        <w:rPr>
          <w:i/>
          <w:iCs/>
          <w:sz w:val="20"/>
          <w:szCs w:val="20"/>
        </w:rPr>
        <w:t>i</w:t>
      </w:r>
      <w:r w:rsidRPr="00B76FCB">
        <w:rPr>
          <w:i/>
          <w:iCs/>
          <w:sz w:val="20"/>
          <w:szCs w:val="20"/>
        </w:rPr>
        <w:t>t ve döner sermayel</w:t>
      </w:r>
      <w:r w:rsidR="00EA5287" w:rsidRPr="00B76FCB">
        <w:rPr>
          <w:i/>
          <w:iCs/>
          <w:sz w:val="20"/>
          <w:szCs w:val="20"/>
        </w:rPr>
        <w:t>i</w:t>
      </w:r>
      <w:r w:rsidRPr="00B76FCB">
        <w:rPr>
          <w:i/>
          <w:iCs/>
          <w:sz w:val="20"/>
          <w:szCs w:val="20"/>
        </w:rPr>
        <w:t xml:space="preserve"> müesseseler, </w:t>
      </w:r>
      <w:r w:rsidR="00EA5287" w:rsidRPr="00B76FCB">
        <w:rPr>
          <w:i/>
          <w:iCs/>
          <w:sz w:val="20"/>
          <w:szCs w:val="20"/>
        </w:rPr>
        <w:t>i</w:t>
      </w:r>
      <w:r w:rsidRPr="00B76FCB">
        <w:rPr>
          <w:i/>
          <w:iCs/>
          <w:sz w:val="20"/>
          <w:szCs w:val="20"/>
        </w:rPr>
        <w:t xml:space="preserve">l özel </w:t>
      </w:r>
      <w:r w:rsidR="00EA5287" w:rsidRPr="00B76FCB">
        <w:rPr>
          <w:i/>
          <w:iCs/>
          <w:sz w:val="20"/>
          <w:szCs w:val="20"/>
        </w:rPr>
        <w:t>i</w:t>
      </w:r>
      <w:r w:rsidRPr="00B76FCB">
        <w:rPr>
          <w:i/>
          <w:iCs/>
          <w:sz w:val="20"/>
          <w:szCs w:val="20"/>
        </w:rPr>
        <w:t>dareler</w:t>
      </w:r>
      <w:r w:rsidR="00EA5287" w:rsidRPr="00B76FCB">
        <w:rPr>
          <w:i/>
          <w:iCs/>
          <w:sz w:val="20"/>
          <w:szCs w:val="20"/>
        </w:rPr>
        <w:t>i</w:t>
      </w:r>
      <w:r w:rsidRPr="00B76FCB">
        <w:rPr>
          <w:i/>
          <w:iCs/>
          <w:sz w:val="20"/>
          <w:szCs w:val="20"/>
        </w:rPr>
        <w:t>, beled</w:t>
      </w:r>
      <w:r w:rsidR="00EA5287" w:rsidRPr="00B76FCB">
        <w:rPr>
          <w:i/>
          <w:iCs/>
          <w:sz w:val="20"/>
          <w:szCs w:val="20"/>
        </w:rPr>
        <w:t>i</w:t>
      </w:r>
      <w:r w:rsidRPr="00B76FCB">
        <w:rPr>
          <w:i/>
          <w:iCs/>
          <w:sz w:val="20"/>
          <w:szCs w:val="20"/>
        </w:rPr>
        <w:t xml:space="preserve">yeler ve bunların bağlı kuruluşları </w:t>
      </w:r>
      <w:r w:rsidR="00EA5287" w:rsidRPr="00B76FCB">
        <w:rPr>
          <w:i/>
          <w:iCs/>
          <w:sz w:val="20"/>
          <w:szCs w:val="20"/>
        </w:rPr>
        <w:t>i</w:t>
      </w:r>
      <w:r w:rsidRPr="00B76FCB">
        <w:rPr>
          <w:i/>
          <w:iCs/>
          <w:sz w:val="20"/>
          <w:szCs w:val="20"/>
        </w:rPr>
        <w:t>le mahall</w:t>
      </w:r>
      <w:r w:rsidR="00EA5287" w:rsidRPr="00B76FCB">
        <w:rPr>
          <w:i/>
          <w:iCs/>
          <w:sz w:val="20"/>
          <w:szCs w:val="20"/>
        </w:rPr>
        <w:t>i</w:t>
      </w:r>
      <w:r w:rsidRPr="00B76FCB">
        <w:rPr>
          <w:i/>
          <w:iCs/>
          <w:sz w:val="20"/>
          <w:szCs w:val="20"/>
        </w:rPr>
        <w:t xml:space="preserve"> </w:t>
      </w:r>
      <w:r w:rsidR="00EA5287" w:rsidRPr="00B76FCB">
        <w:rPr>
          <w:i/>
          <w:iCs/>
          <w:sz w:val="20"/>
          <w:szCs w:val="20"/>
        </w:rPr>
        <w:t>i</w:t>
      </w:r>
      <w:r w:rsidRPr="00B76FCB">
        <w:rPr>
          <w:i/>
          <w:iCs/>
          <w:sz w:val="20"/>
          <w:szCs w:val="20"/>
        </w:rPr>
        <w:t>dare b</w:t>
      </w:r>
      <w:r w:rsidR="00EA5287" w:rsidRPr="00B76FCB">
        <w:rPr>
          <w:i/>
          <w:iCs/>
          <w:sz w:val="20"/>
          <w:szCs w:val="20"/>
        </w:rPr>
        <w:t>i</w:t>
      </w:r>
      <w:r w:rsidRPr="00B76FCB">
        <w:rPr>
          <w:i/>
          <w:iCs/>
          <w:sz w:val="20"/>
          <w:szCs w:val="20"/>
        </w:rPr>
        <w:t>rl</w:t>
      </w:r>
      <w:r w:rsidR="00EA5287" w:rsidRPr="00B76FCB">
        <w:rPr>
          <w:i/>
          <w:iCs/>
          <w:sz w:val="20"/>
          <w:szCs w:val="20"/>
        </w:rPr>
        <w:t>i</w:t>
      </w:r>
      <w:r w:rsidRPr="00B76FCB">
        <w:rPr>
          <w:i/>
          <w:iCs/>
          <w:sz w:val="20"/>
          <w:szCs w:val="20"/>
        </w:rPr>
        <w:t>kler</w:t>
      </w:r>
      <w:r w:rsidR="00EA5287" w:rsidRPr="00B76FCB">
        <w:rPr>
          <w:i/>
          <w:iCs/>
          <w:sz w:val="20"/>
          <w:szCs w:val="20"/>
        </w:rPr>
        <w:t>i</w:t>
      </w:r>
      <w:r w:rsidRPr="00B76FCB">
        <w:rPr>
          <w:i/>
          <w:iCs/>
          <w:sz w:val="20"/>
          <w:szCs w:val="20"/>
        </w:rPr>
        <w:t>ne a</w:t>
      </w:r>
      <w:r w:rsidR="00EA5287" w:rsidRPr="00B76FCB">
        <w:rPr>
          <w:i/>
          <w:iCs/>
          <w:sz w:val="20"/>
          <w:szCs w:val="20"/>
        </w:rPr>
        <w:t>i</w:t>
      </w:r>
      <w:r w:rsidRPr="00B76FCB">
        <w:rPr>
          <w:i/>
          <w:iCs/>
          <w:sz w:val="20"/>
          <w:szCs w:val="20"/>
        </w:rPr>
        <w:t>t taşıtlar bu maddede bel</w:t>
      </w:r>
      <w:r w:rsidR="00EA5287" w:rsidRPr="00B76FCB">
        <w:rPr>
          <w:i/>
          <w:iCs/>
          <w:sz w:val="20"/>
          <w:szCs w:val="20"/>
        </w:rPr>
        <w:t>i</w:t>
      </w:r>
      <w:r w:rsidRPr="00B76FCB">
        <w:rPr>
          <w:i/>
          <w:iCs/>
          <w:sz w:val="20"/>
          <w:szCs w:val="20"/>
        </w:rPr>
        <w:t>rt</w:t>
      </w:r>
      <w:r w:rsidR="00EA5287" w:rsidRPr="00B76FCB">
        <w:rPr>
          <w:i/>
          <w:iCs/>
          <w:sz w:val="20"/>
          <w:szCs w:val="20"/>
        </w:rPr>
        <w:t>i</w:t>
      </w:r>
      <w:r w:rsidRPr="00B76FCB">
        <w:rPr>
          <w:i/>
          <w:iCs/>
          <w:sz w:val="20"/>
          <w:szCs w:val="20"/>
        </w:rPr>
        <w:t>len zorunluluk kapsamında değ</w:t>
      </w:r>
      <w:r w:rsidR="00EA5287" w:rsidRPr="00B76FCB">
        <w:rPr>
          <w:i/>
          <w:iCs/>
          <w:sz w:val="20"/>
          <w:szCs w:val="20"/>
        </w:rPr>
        <w:t>i</w:t>
      </w:r>
      <w:r w:rsidRPr="00B76FCB">
        <w:rPr>
          <w:i/>
          <w:iCs/>
          <w:sz w:val="20"/>
          <w:szCs w:val="20"/>
        </w:rPr>
        <w:t>ld</w:t>
      </w:r>
      <w:r w:rsidR="00EA5287" w:rsidRPr="00B76FCB">
        <w:rPr>
          <w:i/>
          <w:iCs/>
          <w:sz w:val="20"/>
          <w:szCs w:val="20"/>
        </w:rPr>
        <w:t>i</w:t>
      </w:r>
      <w:r w:rsidRPr="00B76FCB">
        <w:rPr>
          <w:i/>
          <w:iCs/>
          <w:sz w:val="20"/>
          <w:szCs w:val="20"/>
        </w:rPr>
        <w:t xml:space="preserve">r. </w:t>
      </w:r>
    </w:p>
    <w:p w14:paraId="238650D2" w14:textId="4270EB53" w:rsidR="00DF3EEC" w:rsidRPr="00B76FCB" w:rsidRDefault="00DF3EEC" w:rsidP="00B76FCB">
      <w:pPr>
        <w:shd w:val="clear" w:color="auto" w:fill="F2F2F2" w:themeFill="background1" w:themeFillShade="F2"/>
        <w:jc w:val="both"/>
        <w:rPr>
          <w:i/>
          <w:iCs/>
          <w:sz w:val="20"/>
          <w:szCs w:val="20"/>
        </w:rPr>
      </w:pPr>
      <w:r w:rsidRPr="00B76FCB">
        <w:rPr>
          <w:i/>
          <w:iCs/>
          <w:sz w:val="20"/>
          <w:szCs w:val="20"/>
        </w:rPr>
        <w:t>(4) Yabancı devletler</w:t>
      </w:r>
      <w:r w:rsidR="00EA5287" w:rsidRPr="00B76FCB">
        <w:rPr>
          <w:i/>
          <w:iCs/>
          <w:sz w:val="20"/>
          <w:szCs w:val="20"/>
        </w:rPr>
        <w:t>i</w:t>
      </w:r>
      <w:r w:rsidRPr="00B76FCB">
        <w:rPr>
          <w:i/>
          <w:iCs/>
          <w:sz w:val="20"/>
          <w:szCs w:val="20"/>
        </w:rPr>
        <w:t>n Türk</w:t>
      </w:r>
      <w:r w:rsidR="00EA5287" w:rsidRPr="00B76FCB">
        <w:rPr>
          <w:i/>
          <w:iCs/>
          <w:sz w:val="20"/>
          <w:szCs w:val="20"/>
        </w:rPr>
        <w:t>i</w:t>
      </w:r>
      <w:r w:rsidRPr="00B76FCB">
        <w:rPr>
          <w:i/>
          <w:iCs/>
          <w:sz w:val="20"/>
          <w:szCs w:val="20"/>
        </w:rPr>
        <w:t>ye’dek</w:t>
      </w:r>
      <w:r w:rsidR="00EA5287" w:rsidRPr="00B76FCB">
        <w:rPr>
          <w:i/>
          <w:iCs/>
          <w:sz w:val="20"/>
          <w:szCs w:val="20"/>
        </w:rPr>
        <w:t>i</w:t>
      </w:r>
      <w:r w:rsidRPr="00B76FCB">
        <w:rPr>
          <w:i/>
          <w:iCs/>
          <w:sz w:val="20"/>
          <w:szCs w:val="20"/>
        </w:rPr>
        <w:t xml:space="preserve"> d</w:t>
      </w:r>
      <w:r w:rsidR="00EA5287" w:rsidRPr="00B76FCB">
        <w:rPr>
          <w:i/>
          <w:iCs/>
          <w:sz w:val="20"/>
          <w:szCs w:val="20"/>
        </w:rPr>
        <w:t>i</w:t>
      </w:r>
      <w:r w:rsidRPr="00B76FCB">
        <w:rPr>
          <w:i/>
          <w:iCs/>
          <w:sz w:val="20"/>
          <w:szCs w:val="20"/>
        </w:rPr>
        <w:t>plomat</w:t>
      </w:r>
      <w:r w:rsidR="00EA5287" w:rsidRPr="00B76FCB">
        <w:rPr>
          <w:i/>
          <w:iCs/>
          <w:sz w:val="20"/>
          <w:szCs w:val="20"/>
        </w:rPr>
        <w:t>i</w:t>
      </w:r>
      <w:r w:rsidRPr="00B76FCB">
        <w:rPr>
          <w:i/>
          <w:iCs/>
          <w:sz w:val="20"/>
          <w:szCs w:val="20"/>
        </w:rPr>
        <w:t>k tems</w:t>
      </w:r>
      <w:r w:rsidR="00EA5287" w:rsidRPr="00B76FCB">
        <w:rPr>
          <w:i/>
          <w:iCs/>
          <w:sz w:val="20"/>
          <w:szCs w:val="20"/>
        </w:rPr>
        <w:t>i</w:t>
      </w:r>
      <w:r w:rsidRPr="00B76FCB">
        <w:rPr>
          <w:i/>
          <w:iCs/>
          <w:sz w:val="20"/>
          <w:szCs w:val="20"/>
        </w:rPr>
        <w:t>lc</w:t>
      </w:r>
      <w:r w:rsidR="00EA5287" w:rsidRPr="00B76FCB">
        <w:rPr>
          <w:i/>
          <w:iCs/>
          <w:sz w:val="20"/>
          <w:szCs w:val="20"/>
        </w:rPr>
        <w:t>i</w:t>
      </w:r>
      <w:r w:rsidRPr="00B76FCB">
        <w:rPr>
          <w:i/>
          <w:iCs/>
          <w:sz w:val="20"/>
          <w:szCs w:val="20"/>
        </w:rPr>
        <w:t>l</w:t>
      </w:r>
      <w:r w:rsidR="00EA5287" w:rsidRPr="00B76FCB">
        <w:rPr>
          <w:i/>
          <w:iCs/>
          <w:sz w:val="20"/>
          <w:szCs w:val="20"/>
        </w:rPr>
        <w:t>i</w:t>
      </w:r>
      <w:r w:rsidRPr="00B76FCB">
        <w:rPr>
          <w:i/>
          <w:iCs/>
          <w:sz w:val="20"/>
          <w:szCs w:val="20"/>
        </w:rPr>
        <w:t>kler, konsoloslukları ve uluslararası anlaşmalarla verg</w:t>
      </w:r>
      <w:r w:rsidR="00EA5287" w:rsidRPr="00B76FCB">
        <w:rPr>
          <w:i/>
          <w:iCs/>
          <w:sz w:val="20"/>
          <w:szCs w:val="20"/>
        </w:rPr>
        <w:t>i</w:t>
      </w:r>
      <w:r w:rsidRPr="00B76FCB">
        <w:rPr>
          <w:i/>
          <w:iCs/>
          <w:sz w:val="20"/>
          <w:szCs w:val="20"/>
        </w:rPr>
        <w:t xml:space="preserve"> muaf</w:t>
      </w:r>
      <w:r w:rsidR="00EA5287" w:rsidRPr="00B76FCB">
        <w:rPr>
          <w:i/>
          <w:iCs/>
          <w:sz w:val="20"/>
          <w:szCs w:val="20"/>
        </w:rPr>
        <w:t>i</w:t>
      </w:r>
      <w:r w:rsidRPr="00B76FCB">
        <w:rPr>
          <w:i/>
          <w:iCs/>
          <w:sz w:val="20"/>
          <w:szCs w:val="20"/>
        </w:rPr>
        <w:t>yet</w:t>
      </w:r>
      <w:r w:rsidR="00EA5287" w:rsidRPr="00B76FCB">
        <w:rPr>
          <w:i/>
          <w:iCs/>
          <w:sz w:val="20"/>
          <w:szCs w:val="20"/>
        </w:rPr>
        <w:t>i</w:t>
      </w:r>
      <w:r w:rsidRPr="00B76FCB">
        <w:rPr>
          <w:i/>
          <w:iCs/>
          <w:sz w:val="20"/>
          <w:szCs w:val="20"/>
        </w:rPr>
        <w:t xml:space="preserve"> tanınan uluslararası kuruluşlar ve bunların d</w:t>
      </w:r>
      <w:r w:rsidR="00EA5287" w:rsidRPr="00B76FCB">
        <w:rPr>
          <w:i/>
          <w:iCs/>
          <w:sz w:val="20"/>
          <w:szCs w:val="20"/>
        </w:rPr>
        <w:t>i</w:t>
      </w:r>
      <w:r w:rsidRPr="00B76FCB">
        <w:rPr>
          <w:i/>
          <w:iCs/>
          <w:sz w:val="20"/>
          <w:szCs w:val="20"/>
        </w:rPr>
        <w:t>plomat</w:t>
      </w:r>
      <w:r w:rsidR="00EA5287" w:rsidRPr="00B76FCB">
        <w:rPr>
          <w:i/>
          <w:iCs/>
          <w:sz w:val="20"/>
          <w:szCs w:val="20"/>
        </w:rPr>
        <w:t>i</w:t>
      </w:r>
      <w:r w:rsidRPr="00B76FCB">
        <w:rPr>
          <w:i/>
          <w:iCs/>
          <w:sz w:val="20"/>
          <w:szCs w:val="20"/>
        </w:rPr>
        <w:t>k haklara sah</w:t>
      </w:r>
      <w:r w:rsidR="00EA5287" w:rsidRPr="00B76FCB">
        <w:rPr>
          <w:i/>
          <w:iCs/>
          <w:sz w:val="20"/>
          <w:szCs w:val="20"/>
        </w:rPr>
        <w:t>i</w:t>
      </w:r>
      <w:r w:rsidRPr="00B76FCB">
        <w:rPr>
          <w:i/>
          <w:iCs/>
          <w:sz w:val="20"/>
          <w:szCs w:val="20"/>
        </w:rPr>
        <w:t xml:space="preserve">p mensupları </w:t>
      </w:r>
      <w:r w:rsidR="00EA5287" w:rsidRPr="00B76FCB">
        <w:rPr>
          <w:i/>
          <w:iCs/>
          <w:sz w:val="20"/>
          <w:szCs w:val="20"/>
        </w:rPr>
        <w:t>i</w:t>
      </w:r>
      <w:r w:rsidRPr="00B76FCB">
        <w:rPr>
          <w:i/>
          <w:iCs/>
          <w:sz w:val="20"/>
          <w:szCs w:val="20"/>
        </w:rPr>
        <w:t>le ev sah</w:t>
      </w:r>
      <w:r w:rsidR="00EA5287" w:rsidRPr="00B76FCB">
        <w:rPr>
          <w:i/>
          <w:iCs/>
          <w:sz w:val="20"/>
          <w:szCs w:val="20"/>
        </w:rPr>
        <w:t>i</w:t>
      </w:r>
      <w:r w:rsidRPr="00B76FCB">
        <w:rPr>
          <w:i/>
          <w:iCs/>
          <w:sz w:val="20"/>
          <w:szCs w:val="20"/>
        </w:rPr>
        <w:t>b</w:t>
      </w:r>
      <w:r w:rsidR="00EA5287" w:rsidRPr="00B76FCB">
        <w:rPr>
          <w:i/>
          <w:iCs/>
          <w:sz w:val="20"/>
          <w:szCs w:val="20"/>
        </w:rPr>
        <w:t>i</w:t>
      </w:r>
      <w:r w:rsidRPr="00B76FCB">
        <w:rPr>
          <w:i/>
          <w:iCs/>
          <w:sz w:val="20"/>
          <w:szCs w:val="20"/>
        </w:rPr>
        <w:t xml:space="preserve"> hükümet anlaşmaları veya ülkem</w:t>
      </w:r>
      <w:r w:rsidR="00EA5287" w:rsidRPr="00B76FCB">
        <w:rPr>
          <w:i/>
          <w:iCs/>
          <w:sz w:val="20"/>
          <w:szCs w:val="20"/>
        </w:rPr>
        <w:t>i</w:t>
      </w:r>
      <w:r w:rsidRPr="00B76FCB">
        <w:rPr>
          <w:i/>
          <w:iCs/>
          <w:sz w:val="20"/>
          <w:szCs w:val="20"/>
        </w:rPr>
        <w:t>z</w:t>
      </w:r>
      <w:r w:rsidR="00EA5287" w:rsidRPr="00B76FCB">
        <w:rPr>
          <w:i/>
          <w:iCs/>
          <w:sz w:val="20"/>
          <w:szCs w:val="20"/>
        </w:rPr>
        <w:t>i</w:t>
      </w:r>
      <w:r w:rsidRPr="00B76FCB">
        <w:rPr>
          <w:i/>
          <w:iCs/>
          <w:sz w:val="20"/>
          <w:szCs w:val="20"/>
        </w:rPr>
        <w:t>n taraf olduğu d</w:t>
      </w:r>
      <w:r w:rsidR="00EA5287" w:rsidRPr="00B76FCB">
        <w:rPr>
          <w:i/>
          <w:iCs/>
          <w:sz w:val="20"/>
          <w:szCs w:val="20"/>
        </w:rPr>
        <w:t>i</w:t>
      </w:r>
      <w:r w:rsidRPr="00B76FCB">
        <w:rPr>
          <w:i/>
          <w:iCs/>
          <w:sz w:val="20"/>
          <w:szCs w:val="20"/>
        </w:rPr>
        <w:t>ğer anlaşmalar çerçeves</w:t>
      </w:r>
      <w:r w:rsidR="00EA5287" w:rsidRPr="00B76FCB">
        <w:rPr>
          <w:i/>
          <w:iCs/>
          <w:sz w:val="20"/>
          <w:szCs w:val="20"/>
        </w:rPr>
        <w:t>i</w:t>
      </w:r>
      <w:r w:rsidRPr="00B76FCB">
        <w:rPr>
          <w:i/>
          <w:iCs/>
          <w:sz w:val="20"/>
          <w:szCs w:val="20"/>
        </w:rPr>
        <w:t>nde Türk</w:t>
      </w:r>
      <w:r w:rsidR="00EA5287" w:rsidRPr="00B76FCB">
        <w:rPr>
          <w:i/>
          <w:iCs/>
          <w:sz w:val="20"/>
          <w:szCs w:val="20"/>
        </w:rPr>
        <w:t>i</w:t>
      </w:r>
      <w:r w:rsidRPr="00B76FCB">
        <w:rPr>
          <w:i/>
          <w:iCs/>
          <w:sz w:val="20"/>
          <w:szCs w:val="20"/>
        </w:rPr>
        <w:t>ye’dek</w:t>
      </w:r>
      <w:r w:rsidR="00EA5287" w:rsidRPr="00B76FCB">
        <w:rPr>
          <w:i/>
          <w:iCs/>
          <w:sz w:val="20"/>
          <w:szCs w:val="20"/>
        </w:rPr>
        <w:t>i</w:t>
      </w:r>
      <w:r w:rsidRPr="00B76FCB">
        <w:rPr>
          <w:i/>
          <w:iCs/>
          <w:sz w:val="20"/>
          <w:szCs w:val="20"/>
        </w:rPr>
        <w:t xml:space="preserve"> uluslararası kuruluşlar ve bunların </w:t>
      </w:r>
      <w:proofErr w:type="spellStart"/>
      <w:r w:rsidRPr="00B76FCB">
        <w:rPr>
          <w:i/>
          <w:iCs/>
          <w:sz w:val="20"/>
          <w:szCs w:val="20"/>
        </w:rPr>
        <w:t>yönetc</w:t>
      </w:r>
      <w:r w:rsidR="00EA5287" w:rsidRPr="00B76FCB">
        <w:rPr>
          <w:i/>
          <w:iCs/>
          <w:sz w:val="20"/>
          <w:szCs w:val="20"/>
        </w:rPr>
        <w:t>i</w:t>
      </w:r>
      <w:proofErr w:type="spellEnd"/>
      <w:r w:rsidRPr="00B76FCB">
        <w:rPr>
          <w:i/>
          <w:iCs/>
          <w:sz w:val="20"/>
          <w:szCs w:val="20"/>
        </w:rPr>
        <w:t xml:space="preserve"> kadrolarında görev yapan Türk</w:t>
      </w:r>
      <w:r w:rsidR="00EA5287" w:rsidRPr="00B76FCB">
        <w:rPr>
          <w:i/>
          <w:iCs/>
          <w:sz w:val="20"/>
          <w:szCs w:val="20"/>
        </w:rPr>
        <w:t>i</w:t>
      </w:r>
      <w:r w:rsidRPr="00B76FCB">
        <w:rPr>
          <w:i/>
          <w:iCs/>
          <w:sz w:val="20"/>
          <w:szCs w:val="20"/>
        </w:rPr>
        <w:t>ye Cumhur</w:t>
      </w:r>
      <w:r w:rsidR="00EA5287" w:rsidRPr="00B76FCB">
        <w:rPr>
          <w:i/>
          <w:iCs/>
          <w:sz w:val="20"/>
          <w:szCs w:val="20"/>
        </w:rPr>
        <w:t>i</w:t>
      </w:r>
      <w:r w:rsidRPr="00B76FCB">
        <w:rPr>
          <w:i/>
          <w:iCs/>
          <w:sz w:val="20"/>
          <w:szCs w:val="20"/>
        </w:rPr>
        <w:t>yet</w:t>
      </w:r>
      <w:r w:rsidR="00EA5287" w:rsidRPr="00B76FCB">
        <w:rPr>
          <w:i/>
          <w:iCs/>
          <w:sz w:val="20"/>
          <w:szCs w:val="20"/>
        </w:rPr>
        <w:t>i</w:t>
      </w:r>
      <w:r w:rsidRPr="00B76FCB">
        <w:rPr>
          <w:i/>
          <w:iCs/>
          <w:sz w:val="20"/>
          <w:szCs w:val="20"/>
        </w:rPr>
        <w:t xml:space="preserve"> vatandaşı olmayan mensuplarına a</w:t>
      </w:r>
      <w:r w:rsidR="00EA5287" w:rsidRPr="00B76FCB">
        <w:rPr>
          <w:i/>
          <w:iCs/>
          <w:sz w:val="20"/>
          <w:szCs w:val="20"/>
        </w:rPr>
        <w:t>i</w:t>
      </w:r>
      <w:r w:rsidRPr="00B76FCB">
        <w:rPr>
          <w:i/>
          <w:iCs/>
          <w:sz w:val="20"/>
          <w:szCs w:val="20"/>
        </w:rPr>
        <w:t>t taşıtlar bu maddede bel</w:t>
      </w:r>
      <w:r w:rsidR="00EA5287" w:rsidRPr="00B76FCB">
        <w:rPr>
          <w:i/>
          <w:iCs/>
          <w:sz w:val="20"/>
          <w:szCs w:val="20"/>
        </w:rPr>
        <w:t>i</w:t>
      </w:r>
      <w:r w:rsidRPr="00B76FCB">
        <w:rPr>
          <w:i/>
          <w:iCs/>
          <w:sz w:val="20"/>
          <w:szCs w:val="20"/>
        </w:rPr>
        <w:t>rt</w:t>
      </w:r>
      <w:r w:rsidR="00EA5287" w:rsidRPr="00B76FCB">
        <w:rPr>
          <w:i/>
          <w:iCs/>
          <w:sz w:val="20"/>
          <w:szCs w:val="20"/>
        </w:rPr>
        <w:t>i</w:t>
      </w:r>
      <w:r w:rsidRPr="00B76FCB">
        <w:rPr>
          <w:i/>
          <w:iCs/>
          <w:sz w:val="20"/>
          <w:szCs w:val="20"/>
        </w:rPr>
        <w:t>len zorunluluk kapsamında değ</w:t>
      </w:r>
      <w:r w:rsidR="00EA5287" w:rsidRPr="00B76FCB">
        <w:rPr>
          <w:i/>
          <w:iCs/>
          <w:sz w:val="20"/>
          <w:szCs w:val="20"/>
        </w:rPr>
        <w:t>i</w:t>
      </w:r>
      <w:r w:rsidRPr="00B76FCB">
        <w:rPr>
          <w:i/>
          <w:iCs/>
          <w:sz w:val="20"/>
          <w:szCs w:val="20"/>
        </w:rPr>
        <w:t>ld</w:t>
      </w:r>
      <w:r w:rsidR="00EA5287" w:rsidRPr="00B76FCB">
        <w:rPr>
          <w:i/>
          <w:iCs/>
          <w:sz w:val="20"/>
          <w:szCs w:val="20"/>
        </w:rPr>
        <w:t>i</w:t>
      </w:r>
      <w:r w:rsidRPr="00B76FCB">
        <w:rPr>
          <w:i/>
          <w:iCs/>
          <w:sz w:val="20"/>
          <w:szCs w:val="20"/>
        </w:rPr>
        <w:t>r.”</w:t>
      </w:r>
    </w:p>
    <w:p w14:paraId="551FEC16" w14:textId="37BD4654" w:rsidR="00DF3EEC" w:rsidRPr="00DF3EEC" w:rsidRDefault="00DF3EEC" w:rsidP="00B76FCB">
      <w:pPr>
        <w:shd w:val="clear" w:color="auto" w:fill="F2F2F2" w:themeFill="background1" w:themeFillShade="F2"/>
        <w:jc w:val="both"/>
        <w:rPr>
          <w:i/>
          <w:iCs/>
          <w:sz w:val="20"/>
          <w:szCs w:val="20"/>
        </w:rPr>
      </w:pPr>
      <w:r w:rsidRPr="00DF3EEC">
        <w:rPr>
          <w:i/>
          <w:iCs/>
          <w:sz w:val="20"/>
          <w:szCs w:val="20"/>
        </w:rPr>
        <w:t>(</w:t>
      </w:r>
      <w:r w:rsidRPr="00B76FCB">
        <w:rPr>
          <w:i/>
          <w:iCs/>
          <w:sz w:val="20"/>
          <w:szCs w:val="20"/>
        </w:rPr>
        <w:t>5</w:t>
      </w:r>
      <w:r w:rsidRPr="00DF3EEC">
        <w:rPr>
          <w:i/>
          <w:iCs/>
          <w:sz w:val="20"/>
          <w:szCs w:val="20"/>
        </w:rPr>
        <w:t>) Birinci fıkra uyarınca zorunluluk kapsamında olmayan taşıtlara da ihtiyari olarak TTB taktırılabilecektir.</w:t>
      </w:r>
    </w:p>
    <w:p w14:paraId="0E6ED002" w14:textId="75BC1E81" w:rsidR="00B76FCB" w:rsidRDefault="00700228" w:rsidP="00155B09">
      <w:r w:rsidRPr="009413B0">
        <w:rPr>
          <w:b/>
          <w:bCs/>
        </w:rPr>
        <w:t>C-</w:t>
      </w:r>
      <w:r>
        <w:t xml:space="preserve"> </w:t>
      </w:r>
      <w:r w:rsidRPr="00D66670">
        <w:t>Ulusal Taşıt Tanıma Sistemi Uygulama Genel Tebliği (Sıra No:1)’</w:t>
      </w:r>
      <w:proofErr w:type="spellStart"/>
      <w:r w:rsidRPr="00D66670">
        <w:t>nin</w:t>
      </w:r>
      <w:proofErr w:type="spellEnd"/>
      <w:r w:rsidRPr="00D66670">
        <w:t> </w:t>
      </w:r>
      <w:r w:rsidRPr="00700228">
        <w:t>11</w:t>
      </w:r>
      <w:r>
        <w:t>’</w:t>
      </w:r>
      <w:r w:rsidRPr="00700228">
        <w:t>inci maddesinin birinci fıkrasında yer alan “sınıfları” ibaresinden sonra gelmek üzere “, yakıt türü” ibaresi eklenmiştir.</w:t>
      </w:r>
      <w:r w:rsidR="00F14E90">
        <w:t xml:space="preserve"> İlgili kısmın son hali aşağıdaki gibidir:</w:t>
      </w:r>
    </w:p>
    <w:p w14:paraId="781A8359" w14:textId="368F4698" w:rsidR="00F14E90" w:rsidRPr="00F14E90" w:rsidRDefault="00F14E90" w:rsidP="00F14E90">
      <w:pPr>
        <w:shd w:val="clear" w:color="auto" w:fill="F2F2F2" w:themeFill="background1" w:themeFillShade="F2"/>
        <w:rPr>
          <w:i/>
          <w:iCs/>
          <w:sz w:val="20"/>
          <w:szCs w:val="20"/>
        </w:rPr>
      </w:pPr>
      <w:r w:rsidRPr="00F14E90">
        <w:rPr>
          <w:i/>
          <w:iCs/>
          <w:sz w:val="20"/>
          <w:szCs w:val="20"/>
        </w:rPr>
        <w:t xml:space="preserve">“(1) Başkanlık, yetkili firmalara ilişkin başvuru, test, değerlendirme, izin, onay, güvenlik ve denetim işlemleri ile YN Pompa </w:t>
      </w:r>
      <w:proofErr w:type="spellStart"/>
      <w:r w:rsidRPr="00F14E90">
        <w:rPr>
          <w:i/>
          <w:iCs/>
          <w:sz w:val="20"/>
          <w:szCs w:val="20"/>
        </w:rPr>
        <w:t>ÖKC’lerle</w:t>
      </w:r>
      <w:proofErr w:type="spellEnd"/>
      <w:r w:rsidRPr="00F14E90">
        <w:rPr>
          <w:i/>
          <w:iCs/>
          <w:sz w:val="20"/>
          <w:szCs w:val="20"/>
        </w:rPr>
        <w:t xml:space="preserve"> UTTS arasındaki entegrasyon süreçlerini ve diğer teknik ve idari çalışma gerekliliklerini değerlendirerek, bu Tebliğde belirlenen süreleri, Darphanenin görüşünü alarak, vergi ve mükellefiyet türü, mükellef grupları, sektör, faaliyet konuları, iş veya üretim hacmi, taşıt sınıfları, </w:t>
      </w:r>
      <w:r w:rsidRPr="00F14E90">
        <w:rPr>
          <w:b/>
          <w:bCs/>
          <w:i/>
          <w:iCs/>
          <w:sz w:val="20"/>
          <w:szCs w:val="20"/>
        </w:rPr>
        <w:t>yakıt türü</w:t>
      </w:r>
      <w:r w:rsidRPr="00F14E90">
        <w:rPr>
          <w:i/>
          <w:iCs/>
          <w:sz w:val="20"/>
          <w:szCs w:val="20"/>
        </w:rPr>
        <w:t xml:space="preserve"> ile il ve ilçe sınırları itibarıyla ayrı ayrı veya birlikte her defasında 6 ayı geçmemek üzere ynokc.gib.gov.tr adresinde ilan ederek uzatmaya yetkilidir.”</w:t>
      </w:r>
    </w:p>
    <w:p w14:paraId="155243CF" w14:textId="77777777" w:rsidR="00F14E90" w:rsidRDefault="00F14E90" w:rsidP="00155B09"/>
    <w:p w14:paraId="4E612600" w14:textId="6D6CC70F" w:rsidR="00300E6A" w:rsidRPr="00300E6A" w:rsidRDefault="00300E6A" w:rsidP="00155B09">
      <w:pPr>
        <w:rPr>
          <w:b/>
          <w:bCs/>
          <w:sz w:val="26"/>
          <w:szCs w:val="26"/>
        </w:rPr>
      </w:pPr>
      <w:r w:rsidRPr="00300E6A">
        <w:rPr>
          <w:b/>
          <w:bCs/>
          <w:sz w:val="26"/>
          <w:szCs w:val="26"/>
        </w:rPr>
        <w:t>IV- GELİR VERGİSİ KANUNU’NUN 94. KURUMLAR VERGİSİ KANUNU’NUN 15. MADDESİNDE YER ALAN TEVKİFAT ORANLARINDA DEĞİŞİKLİK YAPILMIŞTIR</w:t>
      </w:r>
    </w:p>
    <w:p w14:paraId="2F0794A5" w14:textId="61FB8A79" w:rsidR="00300E6A" w:rsidRDefault="00300E6A" w:rsidP="009C532A">
      <w:pPr>
        <w:jc w:val="both"/>
      </w:pPr>
      <w:r>
        <w:t xml:space="preserve">30 Mart 2025 tarihli ve 32857 sayılı </w:t>
      </w:r>
      <w:proofErr w:type="gramStart"/>
      <w:r>
        <w:t>Resmi</w:t>
      </w:r>
      <w:proofErr w:type="gramEnd"/>
      <w:r>
        <w:t xml:space="preserve"> </w:t>
      </w:r>
      <w:proofErr w:type="spellStart"/>
      <w:r>
        <w:t>Gazete’de</w:t>
      </w:r>
      <w:proofErr w:type="spellEnd"/>
      <w:r>
        <w:t xml:space="preserve"> yayımlanan 9707 sayılı Cumhurbaşkanlığı Kararı ile </w:t>
      </w:r>
      <w:r w:rsidRPr="00300E6A">
        <w:t>Gelir Vergisi Kanunu’nun 94. Kurumlar Vergisi Kanunu’nun 15.</w:t>
      </w:r>
      <w:r w:rsidR="009C532A">
        <w:t xml:space="preserve"> ve 30.</w:t>
      </w:r>
      <w:r w:rsidRPr="00300E6A">
        <w:t xml:space="preserve"> </w:t>
      </w:r>
      <w:r>
        <w:t>m</w:t>
      </w:r>
      <w:r w:rsidRPr="00300E6A">
        <w:t>adde</w:t>
      </w:r>
      <w:r w:rsidR="009C532A">
        <w:t>lerinde</w:t>
      </w:r>
      <w:r w:rsidRPr="00300E6A">
        <w:t xml:space="preserve"> </w:t>
      </w:r>
      <w:r>
        <w:t>y</w:t>
      </w:r>
      <w:r w:rsidRPr="00300E6A">
        <w:t xml:space="preserve">er </w:t>
      </w:r>
      <w:r>
        <w:t>a</w:t>
      </w:r>
      <w:r w:rsidRPr="00300E6A">
        <w:t xml:space="preserve">lan </w:t>
      </w:r>
      <w:r>
        <w:t>t</w:t>
      </w:r>
      <w:r w:rsidRPr="00300E6A">
        <w:t xml:space="preserve">evkifat </w:t>
      </w:r>
      <w:r>
        <w:t>o</w:t>
      </w:r>
      <w:r w:rsidRPr="00300E6A">
        <w:t xml:space="preserve">ranlarında </w:t>
      </w:r>
      <w:r>
        <w:t>bazı d</w:t>
      </w:r>
      <w:r w:rsidRPr="00300E6A">
        <w:t>eğişiklik</w:t>
      </w:r>
      <w:r>
        <w:t>ler</w:t>
      </w:r>
      <w:r w:rsidRPr="00300E6A">
        <w:t xml:space="preserve"> </w:t>
      </w:r>
      <w:r>
        <w:t>y</w:t>
      </w:r>
      <w:r w:rsidRPr="00300E6A">
        <w:t>apılmıştır</w:t>
      </w:r>
      <w:r>
        <w:t xml:space="preserve">. </w:t>
      </w:r>
      <w:r w:rsidR="009C532A" w:rsidRPr="00524D68">
        <w:rPr>
          <w:b/>
          <w:bCs/>
        </w:rPr>
        <w:t>Esas olarak</w:t>
      </w:r>
      <w:r w:rsidR="009C532A">
        <w:t xml:space="preserve"> </w:t>
      </w:r>
      <w:proofErr w:type="spellStart"/>
      <w:r w:rsidR="009C532A" w:rsidRPr="00524D68">
        <w:rPr>
          <w:b/>
          <w:bCs/>
        </w:rPr>
        <w:t>GVK’nın</w:t>
      </w:r>
      <w:proofErr w:type="spellEnd"/>
      <w:r w:rsidR="009C532A" w:rsidRPr="00524D68">
        <w:rPr>
          <w:b/>
          <w:bCs/>
        </w:rPr>
        <w:t xml:space="preserve"> 42. maddesi kapsamına giren işlerdeki tevkifat oranlarında yapılan işin niteliğine göre farklılığa gidilmiştir.</w:t>
      </w:r>
      <w:r w:rsidR="009C532A">
        <w:t xml:space="preserve"> Anılan maddelerde birbirine paralel olarak yapılan b</w:t>
      </w:r>
      <w:r>
        <w:t>u değişiklikler aşağıdaki gibidir:</w:t>
      </w:r>
    </w:p>
    <w:p w14:paraId="17A895B1" w14:textId="753B6636" w:rsidR="00581E73" w:rsidRDefault="00300E6A" w:rsidP="009C532A">
      <w:pPr>
        <w:jc w:val="both"/>
      </w:pPr>
      <w:r w:rsidRPr="00581E73">
        <w:rPr>
          <w:b/>
          <w:bCs/>
        </w:rPr>
        <w:t>A-</w:t>
      </w:r>
      <w:r>
        <w:t xml:space="preserve"> </w:t>
      </w:r>
      <w:r w:rsidR="00581E73">
        <w:t>12.01.2009 tarihli ve 2009/14592 sayılı Bakanlar Kurumu Kararı’nın 1. maddesinin 3. fıkrası aşağıdaki şekilde değiştirilmiştir:</w:t>
      </w:r>
    </w:p>
    <w:p w14:paraId="117A05FA" w14:textId="7B7BDAE1" w:rsidR="00300E6A" w:rsidRPr="00581E73" w:rsidRDefault="00581E73" w:rsidP="009C532A">
      <w:pPr>
        <w:shd w:val="clear" w:color="auto" w:fill="F2F2F2" w:themeFill="background1" w:themeFillShade="F2"/>
        <w:jc w:val="both"/>
        <w:rPr>
          <w:i/>
          <w:iCs/>
          <w:sz w:val="20"/>
          <w:szCs w:val="20"/>
        </w:rPr>
      </w:pPr>
      <w:r w:rsidRPr="00581E73">
        <w:rPr>
          <w:i/>
          <w:iCs/>
          <w:sz w:val="20"/>
          <w:szCs w:val="20"/>
        </w:rPr>
        <w:lastRenderedPageBreak/>
        <w:t>Madde 1- Gelir Vergisi Kanunu’nun 94’üncü maddesinde yer alan kazanç ve iratlardan yapılacak vergi tevkifat oranları aşağıdaki şekilde yeniden tespit edilmiştir.</w:t>
      </w:r>
    </w:p>
    <w:p w14:paraId="462D962D" w14:textId="307ECCD4" w:rsidR="00581E73" w:rsidRPr="00581E73" w:rsidRDefault="00581E73" w:rsidP="009C532A">
      <w:pPr>
        <w:shd w:val="clear" w:color="auto" w:fill="F2F2F2" w:themeFill="background1" w:themeFillShade="F2"/>
        <w:jc w:val="both"/>
        <w:rPr>
          <w:i/>
          <w:iCs/>
          <w:sz w:val="20"/>
          <w:szCs w:val="20"/>
        </w:rPr>
      </w:pPr>
      <w:r w:rsidRPr="00581E73">
        <w:rPr>
          <w:i/>
          <w:iCs/>
          <w:sz w:val="20"/>
          <w:szCs w:val="20"/>
        </w:rPr>
        <w:t>…</w:t>
      </w:r>
    </w:p>
    <w:p w14:paraId="6F0B6C42" w14:textId="77777777" w:rsidR="00581E73" w:rsidRPr="00581E73" w:rsidRDefault="00581E73" w:rsidP="009C532A">
      <w:pPr>
        <w:shd w:val="clear" w:color="auto" w:fill="F2F2F2" w:themeFill="background1" w:themeFillShade="F2"/>
        <w:jc w:val="both"/>
        <w:rPr>
          <w:i/>
          <w:iCs/>
          <w:sz w:val="20"/>
          <w:szCs w:val="20"/>
        </w:rPr>
      </w:pPr>
      <w:r w:rsidRPr="00581E73">
        <w:rPr>
          <w:i/>
          <w:iCs/>
          <w:sz w:val="20"/>
          <w:szCs w:val="20"/>
        </w:rPr>
        <w:t xml:space="preserve">3.  42’nci madde kapsamına giren </w:t>
      </w:r>
    </w:p>
    <w:p w14:paraId="495E020E" w14:textId="6E950090" w:rsidR="00581E73" w:rsidRPr="00581E73" w:rsidRDefault="00581E73" w:rsidP="009C532A">
      <w:pPr>
        <w:shd w:val="clear" w:color="auto" w:fill="F2F2F2" w:themeFill="background1" w:themeFillShade="F2"/>
        <w:jc w:val="both"/>
        <w:rPr>
          <w:i/>
          <w:iCs/>
          <w:sz w:val="20"/>
          <w:szCs w:val="20"/>
        </w:rPr>
      </w:pPr>
      <w:r w:rsidRPr="00581E73">
        <w:rPr>
          <w:i/>
          <w:iCs/>
          <w:sz w:val="20"/>
          <w:szCs w:val="20"/>
        </w:rPr>
        <w:t>a) Demiryolu hattı, tr</w:t>
      </w:r>
      <w:r w:rsidR="001D5BC6">
        <w:rPr>
          <w:i/>
          <w:iCs/>
          <w:sz w:val="20"/>
          <w:szCs w:val="20"/>
        </w:rPr>
        <w:t>a</w:t>
      </w:r>
      <w:r w:rsidRPr="00581E73">
        <w:rPr>
          <w:i/>
          <w:iCs/>
          <w:sz w:val="20"/>
          <w:szCs w:val="20"/>
        </w:rPr>
        <w:t xml:space="preserve">mvay, </w:t>
      </w:r>
      <w:proofErr w:type="spellStart"/>
      <w:r w:rsidRPr="00581E73">
        <w:rPr>
          <w:i/>
          <w:iCs/>
          <w:sz w:val="20"/>
          <w:szCs w:val="20"/>
        </w:rPr>
        <w:t>finiküler</w:t>
      </w:r>
      <w:proofErr w:type="spellEnd"/>
      <w:r w:rsidRPr="00581E73">
        <w:rPr>
          <w:i/>
          <w:iCs/>
          <w:sz w:val="20"/>
          <w:szCs w:val="20"/>
        </w:rPr>
        <w:t>, monoray, metro ve şehir içi raylı ulaşım sistemleri, inşaat ve onarım işleri dolayısıyla bu işleri yapanlara ödenen istihkak bedellerinden %1,</w:t>
      </w:r>
    </w:p>
    <w:p w14:paraId="645E4E55" w14:textId="6B80A9C6" w:rsidR="00581E73" w:rsidRPr="00581E73" w:rsidRDefault="00581E73" w:rsidP="009C532A">
      <w:pPr>
        <w:shd w:val="clear" w:color="auto" w:fill="F2F2F2" w:themeFill="background1" w:themeFillShade="F2"/>
        <w:jc w:val="both"/>
        <w:rPr>
          <w:i/>
          <w:iCs/>
          <w:sz w:val="20"/>
          <w:szCs w:val="20"/>
        </w:rPr>
      </w:pPr>
      <w:r w:rsidRPr="00581E73">
        <w:rPr>
          <w:i/>
          <w:iCs/>
          <w:sz w:val="20"/>
          <w:szCs w:val="20"/>
        </w:rPr>
        <w:t>b) Gemi inşaat ve onarım işleri dolayısıyla bu işleri yapanlara ödenen istihkak bedellerinden %1,</w:t>
      </w:r>
    </w:p>
    <w:p w14:paraId="7E9F651E" w14:textId="2EC5F605" w:rsidR="00581E73" w:rsidRPr="00581E73" w:rsidRDefault="00581E73" w:rsidP="009C532A">
      <w:pPr>
        <w:shd w:val="clear" w:color="auto" w:fill="F2F2F2" w:themeFill="background1" w:themeFillShade="F2"/>
        <w:jc w:val="both"/>
        <w:rPr>
          <w:i/>
          <w:iCs/>
          <w:sz w:val="20"/>
          <w:szCs w:val="20"/>
        </w:rPr>
      </w:pPr>
      <w:r w:rsidRPr="00581E73">
        <w:rPr>
          <w:i/>
          <w:iCs/>
          <w:sz w:val="20"/>
          <w:szCs w:val="20"/>
        </w:rPr>
        <w:t xml:space="preserve">c) Diğer işler dolayısıyla bu işleri yapanlara ödenen istihkak bedellerinden </w:t>
      </w:r>
      <w:proofErr w:type="gramStart"/>
      <w:r w:rsidRPr="00581E73">
        <w:rPr>
          <w:i/>
          <w:iCs/>
          <w:sz w:val="20"/>
          <w:szCs w:val="20"/>
        </w:rPr>
        <w:t>% 5</w:t>
      </w:r>
      <w:proofErr w:type="gramEnd"/>
      <w:r w:rsidRPr="00581E73">
        <w:rPr>
          <w:i/>
          <w:iCs/>
          <w:sz w:val="20"/>
          <w:szCs w:val="20"/>
        </w:rPr>
        <w:t>.”</w:t>
      </w:r>
    </w:p>
    <w:p w14:paraId="74BA31EA" w14:textId="6F6170D0" w:rsidR="00581E73" w:rsidRDefault="00581E73" w:rsidP="009C532A">
      <w:pPr>
        <w:jc w:val="both"/>
      </w:pPr>
      <w:r>
        <w:t xml:space="preserve">Değişiklik öncesinde ayrım yapılmaksızın 42. madde kapsamına giren işlerde %5 vergi </w:t>
      </w:r>
      <w:proofErr w:type="spellStart"/>
      <w:r>
        <w:t>tevkifatı</w:t>
      </w:r>
      <w:proofErr w:type="spellEnd"/>
      <w:r>
        <w:t xml:space="preserve"> uygulanmaktaydı.</w:t>
      </w:r>
    </w:p>
    <w:p w14:paraId="5254A6F0" w14:textId="40B94B74" w:rsidR="003B026C" w:rsidRDefault="003B026C" w:rsidP="009C532A">
      <w:pPr>
        <w:jc w:val="both"/>
      </w:pPr>
      <w:r>
        <w:rPr>
          <w:b/>
          <w:bCs/>
        </w:rPr>
        <w:t>B</w:t>
      </w:r>
      <w:r w:rsidRPr="00581E73">
        <w:rPr>
          <w:b/>
          <w:bCs/>
        </w:rPr>
        <w:t>-</w:t>
      </w:r>
      <w:r>
        <w:t xml:space="preserve"> 12.01.2009 tarihli ve 2009/1459</w:t>
      </w:r>
      <w:r w:rsidR="001D5BC6">
        <w:t>4</w:t>
      </w:r>
      <w:r>
        <w:t xml:space="preserve"> sayılı Bakanlar Kurumu Kararı’nın 1. maddesinin 3. fıkrası aşağıdaki şekilde değiştirilmiştir:</w:t>
      </w:r>
    </w:p>
    <w:p w14:paraId="25EBD08B" w14:textId="5E0F390B" w:rsidR="001D5BC6" w:rsidRPr="001D5BC6" w:rsidRDefault="001D5BC6" w:rsidP="009C532A">
      <w:pPr>
        <w:shd w:val="clear" w:color="auto" w:fill="F2F2F2" w:themeFill="background1" w:themeFillShade="F2"/>
        <w:jc w:val="both"/>
        <w:rPr>
          <w:i/>
          <w:iCs/>
          <w:sz w:val="20"/>
          <w:szCs w:val="20"/>
        </w:rPr>
      </w:pPr>
      <w:r w:rsidRPr="001D5BC6">
        <w:rPr>
          <w:b/>
          <w:bCs/>
          <w:i/>
          <w:iCs/>
          <w:sz w:val="20"/>
          <w:szCs w:val="20"/>
        </w:rPr>
        <w:t xml:space="preserve">MADDE 1 </w:t>
      </w:r>
      <w:r w:rsidR="00A736D7">
        <w:rPr>
          <w:b/>
          <w:bCs/>
          <w:i/>
          <w:iCs/>
          <w:sz w:val="20"/>
          <w:szCs w:val="20"/>
        </w:rPr>
        <w:t>–</w:t>
      </w:r>
      <w:r w:rsidRPr="001D5BC6">
        <w:rPr>
          <w:i/>
          <w:iCs/>
          <w:sz w:val="20"/>
          <w:szCs w:val="20"/>
        </w:rPr>
        <w:t> 5520 sayılı Kurumlar Vergisi Kanunu</w:t>
      </w:r>
      <w:r w:rsidRPr="009C532A">
        <w:rPr>
          <w:i/>
          <w:iCs/>
          <w:sz w:val="20"/>
          <w:szCs w:val="20"/>
        </w:rPr>
        <w:t>’</w:t>
      </w:r>
      <w:r w:rsidRPr="001D5BC6">
        <w:rPr>
          <w:i/>
          <w:iCs/>
          <w:sz w:val="20"/>
          <w:szCs w:val="20"/>
        </w:rPr>
        <w:t>nun 15</w:t>
      </w:r>
      <w:r w:rsidRPr="009C532A">
        <w:rPr>
          <w:i/>
          <w:iCs/>
          <w:sz w:val="20"/>
          <w:szCs w:val="20"/>
        </w:rPr>
        <w:t>’</w:t>
      </w:r>
      <w:r w:rsidRPr="001D5BC6">
        <w:rPr>
          <w:i/>
          <w:iCs/>
          <w:sz w:val="20"/>
          <w:szCs w:val="20"/>
        </w:rPr>
        <w:t>inci maddesi uyarınca kurumlara yapılan bazı ödemelere ilişkin vergi kesintisi oranları aşağıdaki şekilde tespit edilmiştir.</w:t>
      </w:r>
    </w:p>
    <w:p w14:paraId="353D9FA5" w14:textId="77777777" w:rsidR="001D5BC6" w:rsidRPr="009C532A" w:rsidRDefault="001D5BC6" w:rsidP="009C532A">
      <w:pPr>
        <w:shd w:val="clear" w:color="auto" w:fill="F2F2F2" w:themeFill="background1" w:themeFillShade="F2"/>
        <w:jc w:val="both"/>
        <w:rPr>
          <w:i/>
          <w:iCs/>
          <w:sz w:val="20"/>
          <w:szCs w:val="20"/>
        </w:rPr>
      </w:pPr>
      <w:r w:rsidRPr="001D5BC6">
        <w:rPr>
          <w:i/>
          <w:iCs/>
          <w:sz w:val="20"/>
          <w:szCs w:val="20"/>
        </w:rPr>
        <w:t xml:space="preserve">1 </w:t>
      </w:r>
      <w:r w:rsidRPr="009C532A">
        <w:rPr>
          <w:i/>
          <w:iCs/>
          <w:sz w:val="20"/>
          <w:szCs w:val="20"/>
        </w:rPr>
        <w:t>–</w:t>
      </w:r>
      <w:r w:rsidRPr="001D5BC6">
        <w:rPr>
          <w:i/>
          <w:iCs/>
          <w:sz w:val="20"/>
          <w:szCs w:val="20"/>
        </w:rPr>
        <w:t xml:space="preserve"> </w:t>
      </w:r>
      <w:r w:rsidRPr="009C532A">
        <w:rPr>
          <w:i/>
          <w:iCs/>
          <w:sz w:val="20"/>
          <w:szCs w:val="20"/>
        </w:rPr>
        <w:t xml:space="preserve">42’nci madde kapsamına giren </w:t>
      </w:r>
    </w:p>
    <w:p w14:paraId="18225A88" w14:textId="32507476" w:rsidR="001D5BC6" w:rsidRPr="00581E73" w:rsidRDefault="001D5BC6" w:rsidP="009C532A">
      <w:pPr>
        <w:shd w:val="clear" w:color="auto" w:fill="F2F2F2" w:themeFill="background1" w:themeFillShade="F2"/>
        <w:jc w:val="both"/>
        <w:rPr>
          <w:i/>
          <w:iCs/>
          <w:sz w:val="20"/>
          <w:szCs w:val="20"/>
        </w:rPr>
      </w:pPr>
      <w:r w:rsidRPr="00581E73">
        <w:rPr>
          <w:i/>
          <w:iCs/>
          <w:sz w:val="20"/>
          <w:szCs w:val="20"/>
        </w:rPr>
        <w:t>a) Demiryolu hattı, tr</w:t>
      </w:r>
      <w:r>
        <w:rPr>
          <w:i/>
          <w:iCs/>
          <w:sz w:val="20"/>
          <w:szCs w:val="20"/>
        </w:rPr>
        <w:t>a</w:t>
      </w:r>
      <w:r w:rsidRPr="00581E73">
        <w:rPr>
          <w:i/>
          <w:iCs/>
          <w:sz w:val="20"/>
          <w:szCs w:val="20"/>
        </w:rPr>
        <w:t xml:space="preserve">mvay, </w:t>
      </w:r>
      <w:proofErr w:type="spellStart"/>
      <w:r w:rsidRPr="00581E73">
        <w:rPr>
          <w:i/>
          <w:iCs/>
          <w:sz w:val="20"/>
          <w:szCs w:val="20"/>
        </w:rPr>
        <w:t>fin</w:t>
      </w:r>
      <w:r>
        <w:rPr>
          <w:i/>
          <w:iCs/>
          <w:sz w:val="20"/>
          <w:szCs w:val="20"/>
        </w:rPr>
        <w:t>i</w:t>
      </w:r>
      <w:r w:rsidRPr="00581E73">
        <w:rPr>
          <w:i/>
          <w:iCs/>
          <w:sz w:val="20"/>
          <w:szCs w:val="20"/>
        </w:rPr>
        <w:t>küler</w:t>
      </w:r>
      <w:proofErr w:type="spellEnd"/>
      <w:r w:rsidRPr="00581E73">
        <w:rPr>
          <w:i/>
          <w:iCs/>
          <w:sz w:val="20"/>
          <w:szCs w:val="20"/>
        </w:rPr>
        <w:t>, monoray, metro ve şehir içi raylı ulaşım sistemleri, inşaat ve onarım işleri dolayısıyla bu işleri yapanlara ödenen istihkak bedellerinden %1,</w:t>
      </w:r>
    </w:p>
    <w:p w14:paraId="78F7C1DC" w14:textId="77777777" w:rsidR="001D5BC6" w:rsidRPr="00581E73" w:rsidRDefault="001D5BC6" w:rsidP="009C532A">
      <w:pPr>
        <w:shd w:val="clear" w:color="auto" w:fill="F2F2F2" w:themeFill="background1" w:themeFillShade="F2"/>
        <w:jc w:val="both"/>
        <w:rPr>
          <w:i/>
          <w:iCs/>
          <w:sz w:val="20"/>
          <w:szCs w:val="20"/>
        </w:rPr>
      </w:pPr>
      <w:r w:rsidRPr="00581E73">
        <w:rPr>
          <w:i/>
          <w:iCs/>
          <w:sz w:val="20"/>
          <w:szCs w:val="20"/>
        </w:rPr>
        <w:t>b) Gemi inşaat ve onarım işleri dolayısıyla bu işleri yapanlara ödenen istihkak bedellerinden %1,</w:t>
      </w:r>
    </w:p>
    <w:p w14:paraId="53D50670" w14:textId="77777777" w:rsidR="001D5BC6" w:rsidRPr="00581E73" w:rsidRDefault="001D5BC6" w:rsidP="009C532A">
      <w:pPr>
        <w:shd w:val="clear" w:color="auto" w:fill="F2F2F2" w:themeFill="background1" w:themeFillShade="F2"/>
        <w:jc w:val="both"/>
        <w:rPr>
          <w:i/>
          <w:iCs/>
          <w:sz w:val="20"/>
          <w:szCs w:val="20"/>
        </w:rPr>
      </w:pPr>
      <w:r w:rsidRPr="00581E73">
        <w:rPr>
          <w:i/>
          <w:iCs/>
          <w:sz w:val="20"/>
          <w:szCs w:val="20"/>
        </w:rPr>
        <w:t xml:space="preserve">c) Diğer işler dolayısıyla bu işleri yapanlara ödenen istihkak bedellerinden </w:t>
      </w:r>
      <w:proofErr w:type="gramStart"/>
      <w:r w:rsidRPr="00581E73">
        <w:rPr>
          <w:i/>
          <w:iCs/>
          <w:sz w:val="20"/>
          <w:szCs w:val="20"/>
        </w:rPr>
        <w:t>% 5</w:t>
      </w:r>
      <w:proofErr w:type="gramEnd"/>
      <w:r w:rsidRPr="00581E73">
        <w:rPr>
          <w:i/>
          <w:iCs/>
          <w:sz w:val="20"/>
          <w:szCs w:val="20"/>
        </w:rPr>
        <w:t>.”</w:t>
      </w:r>
    </w:p>
    <w:p w14:paraId="62AC22FC" w14:textId="2BC767CF" w:rsidR="001D5BC6" w:rsidRPr="001D5BC6" w:rsidRDefault="009C532A" w:rsidP="009C532A">
      <w:pPr>
        <w:jc w:val="both"/>
      </w:pPr>
      <w:r>
        <w:t>Değişiklik öncesinde, “</w:t>
      </w:r>
      <w:r w:rsidR="001D5BC6" w:rsidRPr="001D5BC6">
        <w:t>Gelir Vergisi Kanunu</w:t>
      </w:r>
      <w:r w:rsidR="001D5BC6">
        <w:t>’</w:t>
      </w:r>
      <w:r w:rsidR="001D5BC6" w:rsidRPr="001D5BC6">
        <w:t xml:space="preserve">nda belirtilen esaslara göre birden fazla takvim yılına yaygın inşaat ve onarım işleri ile uğraşan kurumlara bu işleri ile ilgili olarak yapılan </w:t>
      </w:r>
      <w:proofErr w:type="spellStart"/>
      <w:r w:rsidR="001D5BC6" w:rsidRPr="001D5BC6">
        <w:t>hakediş</w:t>
      </w:r>
      <w:proofErr w:type="spellEnd"/>
      <w:r w:rsidR="001D5BC6" w:rsidRPr="001D5BC6">
        <w:t xml:space="preserve"> ödemelerinden %5</w:t>
      </w:r>
      <w:r>
        <w:t xml:space="preserve"> oranında vergi </w:t>
      </w:r>
      <w:proofErr w:type="spellStart"/>
      <w:r>
        <w:t>tevkifatı</w:t>
      </w:r>
      <w:proofErr w:type="spellEnd"/>
      <w:r>
        <w:t>” uygulanmaktaydı.</w:t>
      </w:r>
    </w:p>
    <w:p w14:paraId="24583AE3" w14:textId="010628CE" w:rsidR="009C532A" w:rsidRDefault="009C532A" w:rsidP="009C532A">
      <w:pPr>
        <w:jc w:val="both"/>
      </w:pPr>
      <w:r>
        <w:rPr>
          <w:b/>
          <w:bCs/>
        </w:rPr>
        <w:t>C</w:t>
      </w:r>
      <w:r w:rsidRPr="00581E73">
        <w:rPr>
          <w:b/>
          <w:bCs/>
        </w:rPr>
        <w:t>-</w:t>
      </w:r>
      <w:r>
        <w:t xml:space="preserve"> 12.01.2009 tarihli ve 2009/14593 sayılı Bakanlar Kurumu Kararı’nın 1. maddesinin 3. fıkrası aşağıdaki şekilde değiştirilmiştir:</w:t>
      </w:r>
    </w:p>
    <w:p w14:paraId="67D7E091" w14:textId="4F7D48EE" w:rsidR="009C532A" w:rsidRPr="001D5BC6" w:rsidRDefault="009C532A" w:rsidP="009C532A">
      <w:pPr>
        <w:shd w:val="clear" w:color="auto" w:fill="F2F2F2" w:themeFill="background1" w:themeFillShade="F2"/>
        <w:jc w:val="both"/>
        <w:rPr>
          <w:i/>
          <w:iCs/>
          <w:sz w:val="20"/>
          <w:szCs w:val="20"/>
        </w:rPr>
      </w:pPr>
      <w:r w:rsidRPr="009C532A">
        <w:rPr>
          <w:b/>
          <w:bCs/>
          <w:i/>
          <w:iCs/>
          <w:sz w:val="20"/>
          <w:szCs w:val="20"/>
        </w:rPr>
        <w:t>MADDE 1 –</w:t>
      </w:r>
      <w:r w:rsidRPr="009C532A">
        <w:rPr>
          <w:i/>
          <w:iCs/>
          <w:sz w:val="20"/>
          <w:szCs w:val="20"/>
        </w:rPr>
        <w:t> 5520 sayılı Kurumlar Vergisi Kanununun 30</w:t>
      </w:r>
      <w:r>
        <w:rPr>
          <w:i/>
          <w:iCs/>
          <w:sz w:val="20"/>
          <w:szCs w:val="20"/>
        </w:rPr>
        <w:t>’</w:t>
      </w:r>
      <w:r w:rsidRPr="009C532A">
        <w:rPr>
          <w:i/>
          <w:iCs/>
          <w:sz w:val="20"/>
          <w:szCs w:val="20"/>
        </w:rPr>
        <w:t>uncu maddesi uyarınca dar mükellefiyete tabi kurumların vergi kesintisine tabi kazanç ve iratlarından yapılacak vergi kesintisi oranları aşağıdaki şekilde tespit edilmiştir.</w:t>
      </w:r>
      <w:r>
        <w:rPr>
          <w:i/>
          <w:iCs/>
          <w:sz w:val="20"/>
          <w:szCs w:val="20"/>
        </w:rPr>
        <w:t xml:space="preserve"> </w:t>
      </w:r>
    </w:p>
    <w:p w14:paraId="5FCF0D2A" w14:textId="77777777" w:rsidR="009C532A" w:rsidRPr="009C532A" w:rsidRDefault="009C532A" w:rsidP="009C532A">
      <w:pPr>
        <w:shd w:val="clear" w:color="auto" w:fill="F2F2F2" w:themeFill="background1" w:themeFillShade="F2"/>
        <w:jc w:val="both"/>
        <w:rPr>
          <w:i/>
          <w:iCs/>
          <w:sz w:val="20"/>
          <w:szCs w:val="20"/>
        </w:rPr>
      </w:pPr>
      <w:r w:rsidRPr="001D5BC6">
        <w:rPr>
          <w:i/>
          <w:iCs/>
          <w:sz w:val="20"/>
          <w:szCs w:val="20"/>
        </w:rPr>
        <w:t xml:space="preserve">1 </w:t>
      </w:r>
      <w:r w:rsidRPr="009C532A">
        <w:rPr>
          <w:i/>
          <w:iCs/>
          <w:sz w:val="20"/>
          <w:szCs w:val="20"/>
        </w:rPr>
        <w:t>–</w:t>
      </w:r>
      <w:r w:rsidRPr="001D5BC6">
        <w:rPr>
          <w:i/>
          <w:iCs/>
          <w:sz w:val="20"/>
          <w:szCs w:val="20"/>
        </w:rPr>
        <w:t xml:space="preserve"> </w:t>
      </w:r>
      <w:r w:rsidRPr="009C532A">
        <w:rPr>
          <w:i/>
          <w:iCs/>
          <w:sz w:val="20"/>
          <w:szCs w:val="20"/>
        </w:rPr>
        <w:t xml:space="preserve">42’nci madde kapsamına giren </w:t>
      </w:r>
    </w:p>
    <w:p w14:paraId="2538F314" w14:textId="77777777" w:rsidR="009C532A" w:rsidRPr="00581E73" w:rsidRDefault="009C532A" w:rsidP="009C532A">
      <w:pPr>
        <w:shd w:val="clear" w:color="auto" w:fill="F2F2F2" w:themeFill="background1" w:themeFillShade="F2"/>
        <w:jc w:val="both"/>
        <w:rPr>
          <w:i/>
          <w:iCs/>
          <w:sz w:val="20"/>
          <w:szCs w:val="20"/>
        </w:rPr>
      </w:pPr>
      <w:r w:rsidRPr="00581E73">
        <w:rPr>
          <w:i/>
          <w:iCs/>
          <w:sz w:val="20"/>
          <w:szCs w:val="20"/>
        </w:rPr>
        <w:t>a) Demiryolu hattı, tr</w:t>
      </w:r>
      <w:r>
        <w:rPr>
          <w:i/>
          <w:iCs/>
          <w:sz w:val="20"/>
          <w:szCs w:val="20"/>
        </w:rPr>
        <w:t>a</w:t>
      </w:r>
      <w:r w:rsidRPr="00581E73">
        <w:rPr>
          <w:i/>
          <w:iCs/>
          <w:sz w:val="20"/>
          <w:szCs w:val="20"/>
        </w:rPr>
        <w:t xml:space="preserve">mvay, </w:t>
      </w:r>
      <w:proofErr w:type="spellStart"/>
      <w:r w:rsidRPr="00581E73">
        <w:rPr>
          <w:i/>
          <w:iCs/>
          <w:sz w:val="20"/>
          <w:szCs w:val="20"/>
        </w:rPr>
        <w:t>fin</w:t>
      </w:r>
      <w:r>
        <w:rPr>
          <w:i/>
          <w:iCs/>
          <w:sz w:val="20"/>
          <w:szCs w:val="20"/>
        </w:rPr>
        <w:t>i</w:t>
      </w:r>
      <w:r w:rsidRPr="00581E73">
        <w:rPr>
          <w:i/>
          <w:iCs/>
          <w:sz w:val="20"/>
          <w:szCs w:val="20"/>
        </w:rPr>
        <w:t>küler</w:t>
      </w:r>
      <w:proofErr w:type="spellEnd"/>
      <w:r w:rsidRPr="00581E73">
        <w:rPr>
          <w:i/>
          <w:iCs/>
          <w:sz w:val="20"/>
          <w:szCs w:val="20"/>
        </w:rPr>
        <w:t>, monoray, metro ve şehir içi raylı ulaşım sistemleri, inşaat ve onarım işleri dolayısıyla bu işleri yapanlara ödenen istihkak bedellerinden %1,</w:t>
      </w:r>
    </w:p>
    <w:p w14:paraId="14D2128C" w14:textId="77777777" w:rsidR="009C532A" w:rsidRPr="00581E73" w:rsidRDefault="009C532A" w:rsidP="009C532A">
      <w:pPr>
        <w:shd w:val="clear" w:color="auto" w:fill="F2F2F2" w:themeFill="background1" w:themeFillShade="F2"/>
        <w:jc w:val="both"/>
        <w:rPr>
          <w:i/>
          <w:iCs/>
          <w:sz w:val="20"/>
          <w:szCs w:val="20"/>
        </w:rPr>
      </w:pPr>
      <w:r w:rsidRPr="00581E73">
        <w:rPr>
          <w:i/>
          <w:iCs/>
          <w:sz w:val="20"/>
          <w:szCs w:val="20"/>
        </w:rPr>
        <w:t>b) Gemi inşaat ve onarım işleri dolayısıyla bu işleri yapanlara ödenen istihkak bedellerinden %1,</w:t>
      </w:r>
    </w:p>
    <w:p w14:paraId="5A1E34E3" w14:textId="77777777" w:rsidR="009C532A" w:rsidRPr="00581E73" w:rsidRDefault="009C532A" w:rsidP="009C532A">
      <w:pPr>
        <w:shd w:val="clear" w:color="auto" w:fill="F2F2F2" w:themeFill="background1" w:themeFillShade="F2"/>
        <w:jc w:val="both"/>
        <w:rPr>
          <w:i/>
          <w:iCs/>
          <w:sz w:val="20"/>
          <w:szCs w:val="20"/>
        </w:rPr>
      </w:pPr>
      <w:r w:rsidRPr="00581E73">
        <w:rPr>
          <w:i/>
          <w:iCs/>
          <w:sz w:val="20"/>
          <w:szCs w:val="20"/>
        </w:rPr>
        <w:t xml:space="preserve">c) Diğer işler dolayısıyla bu işleri yapanlara ödenen istihkak bedellerinden </w:t>
      </w:r>
      <w:proofErr w:type="gramStart"/>
      <w:r w:rsidRPr="00581E73">
        <w:rPr>
          <w:i/>
          <w:iCs/>
          <w:sz w:val="20"/>
          <w:szCs w:val="20"/>
        </w:rPr>
        <w:t>% 5</w:t>
      </w:r>
      <w:proofErr w:type="gramEnd"/>
      <w:r w:rsidRPr="00581E73">
        <w:rPr>
          <w:i/>
          <w:iCs/>
          <w:sz w:val="20"/>
          <w:szCs w:val="20"/>
        </w:rPr>
        <w:t>.”</w:t>
      </w:r>
    </w:p>
    <w:p w14:paraId="53DFD2DD" w14:textId="77777777" w:rsidR="009C532A" w:rsidRPr="001D5BC6" w:rsidRDefault="009C532A" w:rsidP="009C532A">
      <w:pPr>
        <w:jc w:val="both"/>
      </w:pPr>
      <w:r>
        <w:t>Değişiklik öncesinde, “</w:t>
      </w:r>
      <w:r w:rsidRPr="001D5BC6">
        <w:t>Gelir Vergisi Kanunu</w:t>
      </w:r>
      <w:r>
        <w:t>’</w:t>
      </w:r>
      <w:r w:rsidRPr="001D5BC6">
        <w:t xml:space="preserve">nda belirtilen esaslara göre birden fazla takvim yılına yaygın inşaat ve onarım işleri ile uğraşan kurumlara bu işleri ile ilgili olarak yapılan </w:t>
      </w:r>
      <w:proofErr w:type="spellStart"/>
      <w:r w:rsidRPr="001D5BC6">
        <w:t>hakediş</w:t>
      </w:r>
      <w:proofErr w:type="spellEnd"/>
      <w:r w:rsidRPr="001D5BC6">
        <w:t xml:space="preserve"> ödemelerinden %5</w:t>
      </w:r>
      <w:r>
        <w:t xml:space="preserve"> oranında vergi </w:t>
      </w:r>
      <w:proofErr w:type="spellStart"/>
      <w:r>
        <w:t>tevkifatı</w:t>
      </w:r>
      <w:proofErr w:type="spellEnd"/>
      <w:r>
        <w:t>” uygulanmaktaydı.</w:t>
      </w:r>
    </w:p>
    <w:sectPr w:rsidR="009C532A" w:rsidRPr="001D5BC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BB1C" w14:textId="77777777" w:rsidR="007A4A62" w:rsidRDefault="007A4A62" w:rsidP="007A30F9">
      <w:pPr>
        <w:spacing w:after="0" w:line="240" w:lineRule="auto"/>
      </w:pPr>
      <w:r>
        <w:separator/>
      </w:r>
    </w:p>
  </w:endnote>
  <w:endnote w:type="continuationSeparator" w:id="0">
    <w:p w14:paraId="3B5FB202" w14:textId="77777777" w:rsidR="007A4A62" w:rsidRDefault="007A4A62" w:rsidP="007A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601826"/>
      <w:docPartObj>
        <w:docPartGallery w:val="Page Numbers (Bottom of Page)"/>
        <w:docPartUnique/>
      </w:docPartObj>
    </w:sdtPr>
    <w:sdtEndPr/>
    <w:sdtContent>
      <w:p w14:paraId="1E402302" w14:textId="16C337C0" w:rsidR="007A30F9" w:rsidRDefault="007A30F9">
        <w:pPr>
          <w:pStyle w:val="AltBilgi"/>
          <w:jc w:val="right"/>
        </w:pPr>
        <w:r>
          <w:fldChar w:fldCharType="begin"/>
        </w:r>
        <w:r>
          <w:instrText>PAGE   \* MERGEFORMAT</w:instrText>
        </w:r>
        <w:r>
          <w:fldChar w:fldCharType="separate"/>
        </w:r>
        <w:r>
          <w:t>2</w:t>
        </w:r>
        <w:r>
          <w:fldChar w:fldCharType="end"/>
        </w:r>
      </w:p>
    </w:sdtContent>
  </w:sdt>
  <w:p w14:paraId="64266243" w14:textId="77777777" w:rsidR="007A30F9" w:rsidRDefault="007A30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BDCD2" w14:textId="77777777" w:rsidR="007A4A62" w:rsidRDefault="007A4A62" w:rsidP="007A30F9">
      <w:pPr>
        <w:spacing w:after="0" w:line="240" w:lineRule="auto"/>
      </w:pPr>
      <w:r>
        <w:separator/>
      </w:r>
    </w:p>
  </w:footnote>
  <w:footnote w:type="continuationSeparator" w:id="0">
    <w:p w14:paraId="10D80A7F" w14:textId="77777777" w:rsidR="007A4A62" w:rsidRDefault="007A4A62" w:rsidP="007A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1D73" w14:textId="77777777" w:rsidR="004566A9" w:rsidRPr="0033768F" w:rsidRDefault="004566A9" w:rsidP="004566A9">
    <w:pPr>
      <w:spacing w:after="0"/>
      <w:jc w:val="center"/>
      <w:rPr>
        <w:rFonts w:ascii="Comic Sans MS" w:hAnsi="Comic Sans MS"/>
        <w:b/>
        <w:bCs/>
        <w:color w:val="002060"/>
        <w:sz w:val="36"/>
        <w:szCs w:val="36"/>
      </w:rPr>
    </w:pPr>
    <w:r w:rsidRPr="0033768F">
      <w:rPr>
        <w:rFonts w:ascii="Comic Sans MS" w:hAnsi="Comic Sans MS"/>
        <w:b/>
        <w:bCs/>
        <w:color w:val="002060"/>
        <w:sz w:val="36"/>
        <w:szCs w:val="36"/>
      </w:rPr>
      <w:t>ATA DENETİM</w:t>
    </w:r>
  </w:p>
  <w:p w14:paraId="28E39447" w14:textId="77777777" w:rsidR="004566A9" w:rsidRPr="0033768F" w:rsidRDefault="004566A9" w:rsidP="004566A9">
    <w:pPr>
      <w:pBdr>
        <w:bottom w:val="single" w:sz="18" w:space="1" w:color="auto"/>
      </w:pBdr>
      <w:spacing w:after="0"/>
      <w:jc w:val="center"/>
      <w:rPr>
        <w:rFonts w:ascii="Calibri" w:hAnsi="Calibri"/>
        <w:color w:val="002060"/>
        <w:sz w:val="28"/>
        <w:szCs w:val="28"/>
      </w:rPr>
    </w:pPr>
    <w:r w:rsidRPr="0033768F">
      <w:rPr>
        <w:rFonts w:ascii="Comic Sans MS" w:hAnsi="Comic Sans MS"/>
        <w:color w:val="002060"/>
        <w:sz w:val="28"/>
        <w:szCs w:val="28"/>
      </w:rPr>
      <w:t xml:space="preserve">           YEMİNLİ MALİ MÜŞAVİRLİK LTD.ŞTİ.</w:t>
    </w:r>
  </w:p>
  <w:p w14:paraId="646162A8" w14:textId="77777777" w:rsidR="004566A9" w:rsidRDefault="004566A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9D"/>
    <w:rsid w:val="00150C2F"/>
    <w:rsid w:val="00155B09"/>
    <w:rsid w:val="001D5BC6"/>
    <w:rsid w:val="00234A8E"/>
    <w:rsid w:val="00300E6A"/>
    <w:rsid w:val="003A3642"/>
    <w:rsid w:val="003B026C"/>
    <w:rsid w:val="004566A9"/>
    <w:rsid w:val="00524D68"/>
    <w:rsid w:val="00581E73"/>
    <w:rsid w:val="0059733C"/>
    <w:rsid w:val="005F20F5"/>
    <w:rsid w:val="005F3A74"/>
    <w:rsid w:val="00700228"/>
    <w:rsid w:val="00745452"/>
    <w:rsid w:val="00794D3A"/>
    <w:rsid w:val="007A30F9"/>
    <w:rsid w:val="007A4A62"/>
    <w:rsid w:val="007A7ADE"/>
    <w:rsid w:val="009413B0"/>
    <w:rsid w:val="009B6807"/>
    <w:rsid w:val="009C532A"/>
    <w:rsid w:val="009D5592"/>
    <w:rsid w:val="00A736D7"/>
    <w:rsid w:val="00B06304"/>
    <w:rsid w:val="00B76FCB"/>
    <w:rsid w:val="00C23507"/>
    <w:rsid w:val="00C25F26"/>
    <w:rsid w:val="00CC3910"/>
    <w:rsid w:val="00CF3FE4"/>
    <w:rsid w:val="00D66670"/>
    <w:rsid w:val="00D74C91"/>
    <w:rsid w:val="00DF3EEC"/>
    <w:rsid w:val="00DF49BF"/>
    <w:rsid w:val="00E44F13"/>
    <w:rsid w:val="00E9399D"/>
    <w:rsid w:val="00EA121B"/>
    <w:rsid w:val="00EA5287"/>
    <w:rsid w:val="00F14E90"/>
    <w:rsid w:val="00F5522C"/>
    <w:rsid w:val="00F8641A"/>
    <w:rsid w:val="00FA010A"/>
    <w:rsid w:val="00FF52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C781"/>
  <w15:chartTrackingRefBased/>
  <w15:docId w15:val="{5BB1128E-0AB2-4775-B163-3C48AA11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99D"/>
  </w:style>
  <w:style w:type="paragraph" w:styleId="Balk1">
    <w:name w:val="heading 1"/>
    <w:basedOn w:val="Normal"/>
    <w:next w:val="Normal"/>
    <w:link w:val="Balk1Char"/>
    <w:uiPriority w:val="9"/>
    <w:qFormat/>
    <w:rsid w:val="00E939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939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9399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9399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9399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9399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9399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9399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9399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399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9399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9399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9399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9399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9399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9399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9399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9399D"/>
    <w:rPr>
      <w:rFonts w:eastAsiaTheme="majorEastAsia" w:cstheme="majorBidi"/>
      <w:color w:val="272727" w:themeColor="text1" w:themeTint="D8"/>
    </w:rPr>
  </w:style>
  <w:style w:type="paragraph" w:styleId="KonuBal">
    <w:name w:val="Title"/>
    <w:basedOn w:val="Normal"/>
    <w:next w:val="Normal"/>
    <w:link w:val="KonuBalChar"/>
    <w:uiPriority w:val="10"/>
    <w:qFormat/>
    <w:rsid w:val="00E93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9399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9399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9399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9399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9399D"/>
    <w:rPr>
      <w:i/>
      <w:iCs/>
      <w:color w:val="404040" w:themeColor="text1" w:themeTint="BF"/>
    </w:rPr>
  </w:style>
  <w:style w:type="paragraph" w:styleId="ListeParagraf">
    <w:name w:val="List Paragraph"/>
    <w:basedOn w:val="Normal"/>
    <w:uiPriority w:val="34"/>
    <w:qFormat/>
    <w:rsid w:val="00E9399D"/>
    <w:pPr>
      <w:ind w:left="720"/>
      <w:contextualSpacing/>
    </w:pPr>
  </w:style>
  <w:style w:type="character" w:styleId="GlVurgulama">
    <w:name w:val="Intense Emphasis"/>
    <w:basedOn w:val="VarsaylanParagrafYazTipi"/>
    <w:uiPriority w:val="21"/>
    <w:qFormat/>
    <w:rsid w:val="00E9399D"/>
    <w:rPr>
      <w:i/>
      <w:iCs/>
      <w:color w:val="2F5496" w:themeColor="accent1" w:themeShade="BF"/>
    </w:rPr>
  </w:style>
  <w:style w:type="paragraph" w:styleId="GlAlnt">
    <w:name w:val="Intense Quote"/>
    <w:basedOn w:val="Normal"/>
    <w:next w:val="Normal"/>
    <w:link w:val="GlAlntChar"/>
    <w:uiPriority w:val="30"/>
    <w:qFormat/>
    <w:rsid w:val="00E93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9399D"/>
    <w:rPr>
      <w:i/>
      <w:iCs/>
      <w:color w:val="2F5496" w:themeColor="accent1" w:themeShade="BF"/>
    </w:rPr>
  </w:style>
  <w:style w:type="character" w:styleId="GlBavuru">
    <w:name w:val="Intense Reference"/>
    <w:basedOn w:val="VarsaylanParagrafYazTipi"/>
    <w:uiPriority w:val="32"/>
    <w:qFormat/>
    <w:rsid w:val="00E9399D"/>
    <w:rPr>
      <w:b/>
      <w:bCs/>
      <w:smallCaps/>
      <w:color w:val="2F5496" w:themeColor="accent1" w:themeShade="BF"/>
      <w:spacing w:val="5"/>
    </w:rPr>
  </w:style>
  <w:style w:type="paragraph" w:styleId="stBilgi">
    <w:name w:val="header"/>
    <w:basedOn w:val="Normal"/>
    <w:link w:val="stBilgiChar"/>
    <w:uiPriority w:val="99"/>
    <w:unhideWhenUsed/>
    <w:rsid w:val="007A30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30F9"/>
  </w:style>
  <w:style w:type="paragraph" w:styleId="AltBilgi">
    <w:name w:val="footer"/>
    <w:basedOn w:val="Normal"/>
    <w:link w:val="AltBilgiChar"/>
    <w:uiPriority w:val="99"/>
    <w:unhideWhenUsed/>
    <w:rsid w:val="007A30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0183">
      <w:bodyDiv w:val="1"/>
      <w:marLeft w:val="0"/>
      <w:marRight w:val="0"/>
      <w:marTop w:val="0"/>
      <w:marBottom w:val="0"/>
      <w:divBdr>
        <w:top w:val="none" w:sz="0" w:space="0" w:color="auto"/>
        <w:left w:val="none" w:sz="0" w:space="0" w:color="auto"/>
        <w:bottom w:val="none" w:sz="0" w:space="0" w:color="auto"/>
        <w:right w:val="none" w:sz="0" w:space="0" w:color="auto"/>
      </w:divBdr>
    </w:div>
    <w:div w:id="256406215">
      <w:bodyDiv w:val="1"/>
      <w:marLeft w:val="0"/>
      <w:marRight w:val="0"/>
      <w:marTop w:val="0"/>
      <w:marBottom w:val="0"/>
      <w:divBdr>
        <w:top w:val="none" w:sz="0" w:space="0" w:color="auto"/>
        <w:left w:val="none" w:sz="0" w:space="0" w:color="auto"/>
        <w:bottom w:val="none" w:sz="0" w:space="0" w:color="auto"/>
        <w:right w:val="none" w:sz="0" w:space="0" w:color="auto"/>
      </w:divBdr>
    </w:div>
    <w:div w:id="350885666">
      <w:bodyDiv w:val="1"/>
      <w:marLeft w:val="0"/>
      <w:marRight w:val="0"/>
      <w:marTop w:val="0"/>
      <w:marBottom w:val="0"/>
      <w:divBdr>
        <w:top w:val="none" w:sz="0" w:space="0" w:color="auto"/>
        <w:left w:val="none" w:sz="0" w:space="0" w:color="auto"/>
        <w:bottom w:val="none" w:sz="0" w:space="0" w:color="auto"/>
        <w:right w:val="none" w:sz="0" w:space="0" w:color="auto"/>
      </w:divBdr>
    </w:div>
    <w:div w:id="390540995">
      <w:bodyDiv w:val="1"/>
      <w:marLeft w:val="0"/>
      <w:marRight w:val="0"/>
      <w:marTop w:val="0"/>
      <w:marBottom w:val="0"/>
      <w:divBdr>
        <w:top w:val="none" w:sz="0" w:space="0" w:color="auto"/>
        <w:left w:val="none" w:sz="0" w:space="0" w:color="auto"/>
        <w:bottom w:val="none" w:sz="0" w:space="0" w:color="auto"/>
        <w:right w:val="none" w:sz="0" w:space="0" w:color="auto"/>
      </w:divBdr>
    </w:div>
    <w:div w:id="391317711">
      <w:bodyDiv w:val="1"/>
      <w:marLeft w:val="0"/>
      <w:marRight w:val="0"/>
      <w:marTop w:val="0"/>
      <w:marBottom w:val="0"/>
      <w:divBdr>
        <w:top w:val="none" w:sz="0" w:space="0" w:color="auto"/>
        <w:left w:val="none" w:sz="0" w:space="0" w:color="auto"/>
        <w:bottom w:val="none" w:sz="0" w:space="0" w:color="auto"/>
        <w:right w:val="none" w:sz="0" w:space="0" w:color="auto"/>
      </w:divBdr>
    </w:div>
    <w:div w:id="497498579">
      <w:bodyDiv w:val="1"/>
      <w:marLeft w:val="0"/>
      <w:marRight w:val="0"/>
      <w:marTop w:val="0"/>
      <w:marBottom w:val="0"/>
      <w:divBdr>
        <w:top w:val="none" w:sz="0" w:space="0" w:color="auto"/>
        <w:left w:val="none" w:sz="0" w:space="0" w:color="auto"/>
        <w:bottom w:val="none" w:sz="0" w:space="0" w:color="auto"/>
        <w:right w:val="none" w:sz="0" w:space="0" w:color="auto"/>
      </w:divBdr>
    </w:div>
    <w:div w:id="639921713">
      <w:bodyDiv w:val="1"/>
      <w:marLeft w:val="0"/>
      <w:marRight w:val="0"/>
      <w:marTop w:val="0"/>
      <w:marBottom w:val="0"/>
      <w:divBdr>
        <w:top w:val="none" w:sz="0" w:space="0" w:color="auto"/>
        <w:left w:val="none" w:sz="0" w:space="0" w:color="auto"/>
        <w:bottom w:val="none" w:sz="0" w:space="0" w:color="auto"/>
        <w:right w:val="none" w:sz="0" w:space="0" w:color="auto"/>
      </w:divBdr>
    </w:div>
    <w:div w:id="690450311">
      <w:bodyDiv w:val="1"/>
      <w:marLeft w:val="0"/>
      <w:marRight w:val="0"/>
      <w:marTop w:val="0"/>
      <w:marBottom w:val="0"/>
      <w:divBdr>
        <w:top w:val="none" w:sz="0" w:space="0" w:color="auto"/>
        <w:left w:val="none" w:sz="0" w:space="0" w:color="auto"/>
        <w:bottom w:val="none" w:sz="0" w:space="0" w:color="auto"/>
        <w:right w:val="none" w:sz="0" w:space="0" w:color="auto"/>
      </w:divBdr>
    </w:div>
    <w:div w:id="695427958">
      <w:bodyDiv w:val="1"/>
      <w:marLeft w:val="0"/>
      <w:marRight w:val="0"/>
      <w:marTop w:val="0"/>
      <w:marBottom w:val="0"/>
      <w:divBdr>
        <w:top w:val="none" w:sz="0" w:space="0" w:color="auto"/>
        <w:left w:val="none" w:sz="0" w:space="0" w:color="auto"/>
        <w:bottom w:val="none" w:sz="0" w:space="0" w:color="auto"/>
        <w:right w:val="none" w:sz="0" w:space="0" w:color="auto"/>
      </w:divBdr>
    </w:div>
    <w:div w:id="716390341">
      <w:bodyDiv w:val="1"/>
      <w:marLeft w:val="0"/>
      <w:marRight w:val="0"/>
      <w:marTop w:val="0"/>
      <w:marBottom w:val="0"/>
      <w:divBdr>
        <w:top w:val="none" w:sz="0" w:space="0" w:color="auto"/>
        <w:left w:val="none" w:sz="0" w:space="0" w:color="auto"/>
        <w:bottom w:val="none" w:sz="0" w:space="0" w:color="auto"/>
        <w:right w:val="none" w:sz="0" w:space="0" w:color="auto"/>
      </w:divBdr>
    </w:div>
    <w:div w:id="734281581">
      <w:bodyDiv w:val="1"/>
      <w:marLeft w:val="0"/>
      <w:marRight w:val="0"/>
      <w:marTop w:val="0"/>
      <w:marBottom w:val="0"/>
      <w:divBdr>
        <w:top w:val="none" w:sz="0" w:space="0" w:color="auto"/>
        <w:left w:val="none" w:sz="0" w:space="0" w:color="auto"/>
        <w:bottom w:val="none" w:sz="0" w:space="0" w:color="auto"/>
        <w:right w:val="none" w:sz="0" w:space="0" w:color="auto"/>
      </w:divBdr>
    </w:div>
    <w:div w:id="815687360">
      <w:bodyDiv w:val="1"/>
      <w:marLeft w:val="0"/>
      <w:marRight w:val="0"/>
      <w:marTop w:val="0"/>
      <w:marBottom w:val="0"/>
      <w:divBdr>
        <w:top w:val="none" w:sz="0" w:space="0" w:color="auto"/>
        <w:left w:val="none" w:sz="0" w:space="0" w:color="auto"/>
        <w:bottom w:val="none" w:sz="0" w:space="0" w:color="auto"/>
        <w:right w:val="none" w:sz="0" w:space="0" w:color="auto"/>
      </w:divBdr>
    </w:div>
    <w:div w:id="996416827">
      <w:bodyDiv w:val="1"/>
      <w:marLeft w:val="0"/>
      <w:marRight w:val="0"/>
      <w:marTop w:val="0"/>
      <w:marBottom w:val="0"/>
      <w:divBdr>
        <w:top w:val="none" w:sz="0" w:space="0" w:color="auto"/>
        <w:left w:val="none" w:sz="0" w:space="0" w:color="auto"/>
        <w:bottom w:val="none" w:sz="0" w:space="0" w:color="auto"/>
        <w:right w:val="none" w:sz="0" w:space="0" w:color="auto"/>
      </w:divBdr>
    </w:div>
    <w:div w:id="1109665389">
      <w:bodyDiv w:val="1"/>
      <w:marLeft w:val="0"/>
      <w:marRight w:val="0"/>
      <w:marTop w:val="0"/>
      <w:marBottom w:val="0"/>
      <w:divBdr>
        <w:top w:val="none" w:sz="0" w:space="0" w:color="auto"/>
        <w:left w:val="none" w:sz="0" w:space="0" w:color="auto"/>
        <w:bottom w:val="none" w:sz="0" w:space="0" w:color="auto"/>
        <w:right w:val="none" w:sz="0" w:space="0" w:color="auto"/>
      </w:divBdr>
    </w:div>
    <w:div w:id="1236817221">
      <w:bodyDiv w:val="1"/>
      <w:marLeft w:val="0"/>
      <w:marRight w:val="0"/>
      <w:marTop w:val="0"/>
      <w:marBottom w:val="0"/>
      <w:divBdr>
        <w:top w:val="none" w:sz="0" w:space="0" w:color="auto"/>
        <w:left w:val="none" w:sz="0" w:space="0" w:color="auto"/>
        <w:bottom w:val="none" w:sz="0" w:space="0" w:color="auto"/>
        <w:right w:val="none" w:sz="0" w:space="0" w:color="auto"/>
      </w:divBdr>
    </w:div>
    <w:div w:id="1363750180">
      <w:bodyDiv w:val="1"/>
      <w:marLeft w:val="0"/>
      <w:marRight w:val="0"/>
      <w:marTop w:val="0"/>
      <w:marBottom w:val="0"/>
      <w:divBdr>
        <w:top w:val="none" w:sz="0" w:space="0" w:color="auto"/>
        <w:left w:val="none" w:sz="0" w:space="0" w:color="auto"/>
        <w:bottom w:val="none" w:sz="0" w:space="0" w:color="auto"/>
        <w:right w:val="none" w:sz="0" w:space="0" w:color="auto"/>
      </w:divBdr>
    </w:div>
    <w:div w:id="1394622973">
      <w:bodyDiv w:val="1"/>
      <w:marLeft w:val="0"/>
      <w:marRight w:val="0"/>
      <w:marTop w:val="0"/>
      <w:marBottom w:val="0"/>
      <w:divBdr>
        <w:top w:val="none" w:sz="0" w:space="0" w:color="auto"/>
        <w:left w:val="none" w:sz="0" w:space="0" w:color="auto"/>
        <w:bottom w:val="none" w:sz="0" w:space="0" w:color="auto"/>
        <w:right w:val="none" w:sz="0" w:space="0" w:color="auto"/>
      </w:divBdr>
    </w:div>
    <w:div w:id="1486781810">
      <w:bodyDiv w:val="1"/>
      <w:marLeft w:val="0"/>
      <w:marRight w:val="0"/>
      <w:marTop w:val="0"/>
      <w:marBottom w:val="0"/>
      <w:divBdr>
        <w:top w:val="none" w:sz="0" w:space="0" w:color="auto"/>
        <w:left w:val="none" w:sz="0" w:space="0" w:color="auto"/>
        <w:bottom w:val="none" w:sz="0" w:space="0" w:color="auto"/>
        <w:right w:val="none" w:sz="0" w:space="0" w:color="auto"/>
      </w:divBdr>
    </w:div>
    <w:div w:id="1610817317">
      <w:bodyDiv w:val="1"/>
      <w:marLeft w:val="0"/>
      <w:marRight w:val="0"/>
      <w:marTop w:val="0"/>
      <w:marBottom w:val="0"/>
      <w:divBdr>
        <w:top w:val="none" w:sz="0" w:space="0" w:color="auto"/>
        <w:left w:val="none" w:sz="0" w:space="0" w:color="auto"/>
        <w:bottom w:val="none" w:sz="0" w:space="0" w:color="auto"/>
        <w:right w:val="none" w:sz="0" w:space="0" w:color="auto"/>
      </w:divBdr>
    </w:div>
    <w:div w:id="1921670229">
      <w:bodyDiv w:val="1"/>
      <w:marLeft w:val="0"/>
      <w:marRight w:val="0"/>
      <w:marTop w:val="0"/>
      <w:marBottom w:val="0"/>
      <w:divBdr>
        <w:top w:val="none" w:sz="0" w:space="0" w:color="auto"/>
        <w:left w:val="none" w:sz="0" w:space="0" w:color="auto"/>
        <w:bottom w:val="none" w:sz="0" w:space="0" w:color="auto"/>
        <w:right w:val="none" w:sz="0" w:space="0" w:color="auto"/>
      </w:divBdr>
    </w:div>
    <w:div w:id="1928879702">
      <w:bodyDiv w:val="1"/>
      <w:marLeft w:val="0"/>
      <w:marRight w:val="0"/>
      <w:marTop w:val="0"/>
      <w:marBottom w:val="0"/>
      <w:divBdr>
        <w:top w:val="none" w:sz="0" w:space="0" w:color="auto"/>
        <w:left w:val="none" w:sz="0" w:space="0" w:color="auto"/>
        <w:bottom w:val="none" w:sz="0" w:space="0" w:color="auto"/>
        <w:right w:val="none" w:sz="0" w:space="0" w:color="auto"/>
      </w:divBdr>
    </w:div>
    <w:div w:id="20417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2069</Words>
  <Characters>14313</Characters>
  <Application>Microsoft Office Word</Application>
  <DocSecurity>0</DocSecurity>
  <Lines>194</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22</cp:revision>
  <dcterms:created xsi:type="dcterms:W3CDTF">2025-04-01T11:16:00Z</dcterms:created>
  <dcterms:modified xsi:type="dcterms:W3CDTF">2025-12-25T12:26:00Z</dcterms:modified>
</cp:coreProperties>
</file>