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C95D" w14:textId="4218E094" w:rsidR="007843E5" w:rsidRDefault="000E2AD4" w:rsidP="007843E5">
      <w:pPr>
        <w:spacing w:after="0" w:line="240" w:lineRule="auto"/>
        <w:jc w:val="center"/>
        <w:rPr>
          <w:b/>
          <w:bCs/>
          <w:sz w:val="32"/>
          <w:szCs w:val="32"/>
        </w:rPr>
      </w:pPr>
      <w:r>
        <w:rPr>
          <w:b/>
          <w:bCs/>
          <w:sz w:val="32"/>
          <w:szCs w:val="32"/>
        </w:rPr>
        <w:t>VERGİ MEVZUATINDAKİ GELİŞMELER</w:t>
      </w:r>
      <w:r w:rsidR="007843E5" w:rsidRPr="00FC7ED4">
        <w:rPr>
          <w:b/>
          <w:bCs/>
          <w:sz w:val="32"/>
          <w:szCs w:val="32"/>
        </w:rPr>
        <w:t xml:space="preserve"> 202</w:t>
      </w:r>
      <w:r w:rsidR="007843E5">
        <w:rPr>
          <w:b/>
          <w:bCs/>
          <w:sz w:val="32"/>
          <w:szCs w:val="32"/>
        </w:rPr>
        <w:t>5</w:t>
      </w:r>
      <w:r w:rsidR="007843E5" w:rsidRPr="00FC7ED4">
        <w:rPr>
          <w:b/>
          <w:bCs/>
          <w:sz w:val="32"/>
          <w:szCs w:val="32"/>
        </w:rPr>
        <w:t>/</w:t>
      </w:r>
      <w:r>
        <w:rPr>
          <w:b/>
          <w:bCs/>
          <w:sz w:val="32"/>
          <w:szCs w:val="32"/>
        </w:rPr>
        <w:t>MART-1</w:t>
      </w:r>
    </w:p>
    <w:p w14:paraId="1DA6C928" w14:textId="403AD48C" w:rsidR="007843E5" w:rsidRDefault="007843E5" w:rsidP="007843E5">
      <w:pPr>
        <w:spacing w:after="0" w:line="240" w:lineRule="auto"/>
        <w:jc w:val="center"/>
        <w:rPr>
          <w:b/>
          <w:bCs/>
          <w:sz w:val="18"/>
          <w:szCs w:val="18"/>
        </w:rPr>
      </w:pPr>
      <w:r w:rsidRPr="00B54EDB">
        <w:rPr>
          <w:b/>
          <w:bCs/>
          <w:sz w:val="18"/>
          <w:szCs w:val="18"/>
        </w:rPr>
        <w:t>(</w:t>
      </w:r>
      <w:r>
        <w:rPr>
          <w:b/>
          <w:bCs/>
          <w:sz w:val="18"/>
          <w:szCs w:val="18"/>
        </w:rPr>
        <w:t>06.03.2025</w:t>
      </w:r>
      <w:r w:rsidRPr="00B54EDB">
        <w:rPr>
          <w:b/>
          <w:bCs/>
          <w:sz w:val="18"/>
          <w:szCs w:val="18"/>
        </w:rPr>
        <w:t>)</w:t>
      </w:r>
    </w:p>
    <w:p w14:paraId="227FCB3D" w14:textId="77777777" w:rsidR="007843E5" w:rsidRDefault="007843E5" w:rsidP="007843E5"/>
    <w:p w14:paraId="45EE99D9" w14:textId="053CEB46" w:rsidR="00C23507" w:rsidRPr="007843E5" w:rsidRDefault="007843E5">
      <w:pPr>
        <w:rPr>
          <w:b/>
          <w:bCs/>
          <w:sz w:val="26"/>
          <w:szCs w:val="26"/>
        </w:rPr>
      </w:pPr>
      <w:r w:rsidRPr="007843E5">
        <w:rPr>
          <w:b/>
          <w:bCs/>
          <w:sz w:val="26"/>
          <w:szCs w:val="26"/>
        </w:rPr>
        <w:t>I- TÜRK PARASI KIYMETİNİ KORUMA HAKKINDA 32 SAYILI KARARA İLİŞKİN TEBLİĞ (TEBLİĞ NO: 2008-32/34)’DE DEĞİŞİKLİK YAPILMIŞTIR</w:t>
      </w:r>
    </w:p>
    <w:p w14:paraId="16310EF8" w14:textId="0419B764" w:rsidR="007843E5" w:rsidRDefault="007843E5" w:rsidP="00AF313F">
      <w:pPr>
        <w:jc w:val="both"/>
      </w:pPr>
      <w:r w:rsidRPr="007843E5">
        <w:t>Türk Parası Kıymetini Koruma Hakkında 32 Sayılı Karara İlişkin</w:t>
      </w:r>
      <w:r>
        <w:t xml:space="preserve"> </w:t>
      </w:r>
      <w:r w:rsidRPr="007843E5">
        <w:t>Tebliğ (Tebliğ No: 2008-32/34)’</w:t>
      </w:r>
      <w:r>
        <w:t>d</w:t>
      </w:r>
      <w:r w:rsidRPr="007843E5">
        <w:t>e Değişiklik Yapılmasına</w:t>
      </w:r>
      <w:r>
        <w:t xml:space="preserve"> </w:t>
      </w:r>
      <w:r w:rsidRPr="007843E5">
        <w:t>Dair Tebliğ (Tebliğ No: 2025-32/72)</w:t>
      </w:r>
      <w:r>
        <w:t xml:space="preserve"> 06 Mart 2025 tarihli ve 32833 sayılı Resm</w:t>
      </w:r>
      <w:r w:rsidR="00AB7ADE">
        <w:t>î</w:t>
      </w:r>
      <w:r>
        <w:t xml:space="preserve"> </w:t>
      </w:r>
      <w:proofErr w:type="spellStart"/>
      <w:r>
        <w:t>Gazete’de</w:t>
      </w:r>
      <w:proofErr w:type="spellEnd"/>
      <w:r>
        <w:t xml:space="preserve"> yayımlanmıştır. Yayımı tarihinde yürürlüğe giren bu düzenlemeye göre;</w:t>
      </w:r>
    </w:p>
    <w:p w14:paraId="48FEAEA1" w14:textId="6C0ACAEB" w:rsidR="007843E5" w:rsidRPr="007843E5" w:rsidRDefault="007843E5" w:rsidP="00AF313F">
      <w:pPr>
        <w:jc w:val="both"/>
      </w:pPr>
      <w:r w:rsidRPr="007843E5">
        <w:t xml:space="preserve">28/2/2008 tarihli ve 26801 sayılı Resmî </w:t>
      </w:r>
      <w:proofErr w:type="spellStart"/>
      <w:r w:rsidRPr="007843E5">
        <w:t>Gazete’de</w:t>
      </w:r>
      <w:proofErr w:type="spellEnd"/>
      <w:r w:rsidRPr="007843E5">
        <w:t xml:space="preserve"> yayımlanan Türk Parası Kıymetini Koruma Hakkında 32 Sayılı Karara İlişkin Tebliğ (Tebliğ No: 2008-32/34)’in 8</w:t>
      </w:r>
      <w:r>
        <w:t>’</w:t>
      </w:r>
      <w:r w:rsidRPr="007843E5">
        <w:t>inci maddesinin dokuzuncu fıkrası aşağıdaki şekilde ve on beşinci fıkrasında yer alan “kararlaştırılması, ödenmesi ve kabul edilmesi” ibaresi “kararlaştırılması” şeklinde değiştirilmiştir.</w:t>
      </w:r>
    </w:p>
    <w:p w14:paraId="6D7E3E90" w14:textId="77777777" w:rsidR="007843E5" w:rsidRPr="007843E5" w:rsidRDefault="007843E5" w:rsidP="00AF313F">
      <w:pPr>
        <w:shd w:val="clear" w:color="auto" w:fill="F2F2F2" w:themeFill="background1" w:themeFillShade="F2"/>
        <w:jc w:val="both"/>
        <w:rPr>
          <w:b/>
          <w:bCs/>
          <w:i/>
          <w:iCs/>
          <w:sz w:val="20"/>
          <w:szCs w:val="20"/>
        </w:rPr>
      </w:pPr>
      <w:r w:rsidRPr="007843E5">
        <w:rPr>
          <w:b/>
          <w:bCs/>
          <w:i/>
          <w:iCs/>
          <w:sz w:val="20"/>
          <w:szCs w:val="20"/>
        </w:rPr>
        <w:t>“(9) Türkiye’de yerleşik kişilerin kendi aralarında akdedecekleri; taşıt satış sözleşmeleri dışında kalan menkul satış sözleşmelerinde sözleşme bedelini ve bu sözleşmelerden kaynaklanan diğer ödeme yükümlülüklerini döviz cinsinden veya dövize endeksli olarak kararlaştırmaları mümkündür.”</w:t>
      </w:r>
    </w:p>
    <w:p w14:paraId="25DE68FA" w14:textId="2667D492" w:rsidR="007843E5" w:rsidRDefault="00AB7ADE" w:rsidP="007843E5">
      <w:r>
        <w:t xml:space="preserve">Söz konusu </w:t>
      </w:r>
      <w:r w:rsidR="00AF313F">
        <w:t xml:space="preserve">8. </w:t>
      </w:r>
      <w:r>
        <w:t>maddenin</w:t>
      </w:r>
      <w:r w:rsidR="00AF313F">
        <w:t xml:space="preserve"> 9. fıkrasının</w:t>
      </w:r>
      <w:r>
        <w:t xml:space="preserve"> değişmeden önceki hali aşağıdaki gibidir:</w:t>
      </w:r>
    </w:p>
    <w:p w14:paraId="51A0B06F" w14:textId="50584A92" w:rsidR="00AB7ADE" w:rsidRPr="00AB7ADE" w:rsidRDefault="00AB7ADE" w:rsidP="00AB7ADE">
      <w:pPr>
        <w:jc w:val="both"/>
        <w:rPr>
          <w:i/>
          <w:iCs/>
          <w:sz w:val="20"/>
          <w:szCs w:val="20"/>
        </w:rPr>
      </w:pPr>
      <w:r w:rsidRPr="00AB7ADE">
        <w:rPr>
          <w:i/>
          <w:iCs/>
          <w:sz w:val="20"/>
          <w:szCs w:val="20"/>
        </w:rPr>
        <w:t xml:space="preserve">“(9) Türkiye’de yerleşik kişilerin kendi aralarında akdedecekleri; taşıt satış sözleşmeleri dışında kalan menkul satış sözleşmelerinde sözleşme bedelini ve bu sözleşmelerden kaynaklanan diğer ödeme yükümlülüklerini döviz cinsinden veya dövize endeksli olarak kararlaştırmaları mümkündür. </w:t>
      </w:r>
    </w:p>
    <w:p w14:paraId="1388D1BB" w14:textId="77777777" w:rsidR="00AB7ADE" w:rsidRPr="00AB7ADE" w:rsidRDefault="00AB7ADE" w:rsidP="00AB7ADE">
      <w:pPr>
        <w:jc w:val="both"/>
        <w:rPr>
          <w:i/>
          <w:iCs/>
          <w:sz w:val="20"/>
          <w:szCs w:val="20"/>
        </w:rPr>
      </w:pPr>
      <w:r w:rsidRPr="00AB7ADE">
        <w:rPr>
          <w:i/>
          <w:iCs/>
          <w:sz w:val="20"/>
          <w:szCs w:val="20"/>
        </w:rPr>
        <w:t xml:space="preserve">Ancak söz konusu sözleşmelere ilişkin aşağıda belirtilen haller dışında kalan ödeme yükümlülüklerinin Türk parası cinsinden yerine getirilmesi ve kabul edilmesi zorunludur: </w:t>
      </w:r>
    </w:p>
    <w:p w14:paraId="2B39F341" w14:textId="77777777" w:rsidR="00AB7ADE" w:rsidRPr="00AB7ADE" w:rsidRDefault="00AB7ADE" w:rsidP="00AB7ADE">
      <w:pPr>
        <w:jc w:val="both"/>
        <w:rPr>
          <w:i/>
          <w:iCs/>
          <w:sz w:val="20"/>
          <w:szCs w:val="20"/>
        </w:rPr>
      </w:pPr>
      <w:r w:rsidRPr="00AB7ADE">
        <w:rPr>
          <w:i/>
          <w:iCs/>
          <w:sz w:val="20"/>
          <w:szCs w:val="20"/>
        </w:rPr>
        <w:t xml:space="preserve">a) 19/4/2022 tarihinden önce akdedilen menkul satış sözleşmelerinin ifası kapsamında 19/4/2022 tarihli ve 31814 sayılı Resmî </w:t>
      </w:r>
      <w:proofErr w:type="spellStart"/>
      <w:r w:rsidRPr="00AB7ADE">
        <w:rPr>
          <w:i/>
          <w:iCs/>
          <w:sz w:val="20"/>
          <w:szCs w:val="20"/>
        </w:rPr>
        <w:t>Gazete’de</w:t>
      </w:r>
      <w:proofErr w:type="spellEnd"/>
      <w:r w:rsidRPr="00AB7ADE">
        <w:rPr>
          <w:i/>
          <w:iCs/>
          <w:sz w:val="20"/>
          <w:szCs w:val="20"/>
        </w:rPr>
        <w:t xml:space="preserve"> yayımlanan Türk Parası Kıymetini Koruma Hakkında 32 Sayılı Karara İlişkin Tebliğ (Tebliğ No: 2008-32/34)’de Değişiklik Yapılmasına Dair Tebliğ (Tebliğ No: 2022-32/66)’in yürürlük tarihi öncesinde dolaşıma girmiş bulunan döviz cinsinden kıymetli evraklar kapsamındaki ödeme yükümlülükleri. </w:t>
      </w:r>
    </w:p>
    <w:p w14:paraId="6C787B3F" w14:textId="77777777" w:rsidR="00AB7ADE" w:rsidRPr="00AB7ADE" w:rsidRDefault="00AB7ADE" w:rsidP="00AB7ADE">
      <w:pPr>
        <w:jc w:val="both"/>
        <w:rPr>
          <w:i/>
          <w:iCs/>
          <w:sz w:val="20"/>
          <w:szCs w:val="20"/>
        </w:rPr>
      </w:pPr>
      <w:r w:rsidRPr="00AB7ADE">
        <w:rPr>
          <w:i/>
          <w:iCs/>
          <w:sz w:val="20"/>
          <w:szCs w:val="20"/>
        </w:rPr>
        <w:t xml:space="preserve">b) 19/4/2022 tarihinden önce düzenlenmiş faturalar kapsamındaki ödeme yükümlülükleri. </w:t>
      </w:r>
    </w:p>
    <w:p w14:paraId="170DB58B" w14:textId="77777777" w:rsidR="00AB7ADE" w:rsidRPr="00AB7ADE" w:rsidRDefault="00AB7ADE" w:rsidP="00AB7ADE">
      <w:pPr>
        <w:jc w:val="both"/>
        <w:rPr>
          <w:i/>
          <w:iCs/>
          <w:sz w:val="20"/>
          <w:szCs w:val="20"/>
        </w:rPr>
      </w:pPr>
      <w:proofErr w:type="gramStart"/>
      <w:r w:rsidRPr="00AB7ADE">
        <w:rPr>
          <w:i/>
          <w:iCs/>
          <w:sz w:val="20"/>
          <w:szCs w:val="20"/>
        </w:rPr>
        <w:t>c )</w:t>
      </w:r>
      <w:proofErr w:type="gramEnd"/>
      <w:r w:rsidRPr="00AB7ADE">
        <w:rPr>
          <w:i/>
          <w:iCs/>
          <w:sz w:val="20"/>
          <w:szCs w:val="20"/>
        </w:rPr>
        <w:t xml:space="preserve"> Borsa İstanbul A.Ş. Kıymetli Madenler ve Kıymetli Taşlar Piyasasında döviz cinsinden gerçekleştirilen kıymetli maden ve kıymetli taş alım satım işlemleri ile bu işlemlerin takası kapsamındaki ödeme yükümlülükleri. </w:t>
      </w:r>
    </w:p>
    <w:p w14:paraId="5D628467" w14:textId="77777777" w:rsidR="00AB7ADE" w:rsidRPr="00AB7ADE" w:rsidRDefault="00AB7ADE" w:rsidP="00AB7ADE">
      <w:pPr>
        <w:jc w:val="both"/>
        <w:rPr>
          <w:i/>
          <w:iCs/>
          <w:sz w:val="20"/>
          <w:szCs w:val="20"/>
        </w:rPr>
      </w:pPr>
      <w:r w:rsidRPr="00AB7ADE">
        <w:rPr>
          <w:i/>
          <w:iCs/>
          <w:sz w:val="20"/>
          <w:szCs w:val="20"/>
        </w:rPr>
        <w:t xml:space="preserve">ç) 8/12/2004 tarihli ve 25664 sayılı Resmî </w:t>
      </w:r>
      <w:proofErr w:type="spellStart"/>
      <w:r w:rsidRPr="00AB7ADE">
        <w:rPr>
          <w:i/>
          <w:iCs/>
          <w:sz w:val="20"/>
          <w:szCs w:val="20"/>
        </w:rPr>
        <w:t>Gazete’de</w:t>
      </w:r>
      <w:proofErr w:type="spellEnd"/>
      <w:r w:rsidRPr="00AB7ADE">
        <w:rPr>
          <w:i/>
          <w:iCs/>
          <w:sz w:val="20"/>
          <w:szCs w:val="20"/>
        </w:rPr>
        <w:t xml:space="preserve"> yayımlanan Dış Ticaret Sermaye Şirketi Statüsüne İlişkin Tebliğ (İhracat: 2004/12) ve 2/7/2004 tarihli ve 25510 sayılı Resmî </w:t>
      </w:r>
      <w:proofErr w:type="spellStart"/>
      <w:r w:rsidRPr="00AB7ADE">
        <w:rPr>
          <w:i/>
          <w:iCs/>
          <w:sz w:val="20"/>
          <w:szCs w:val="20"/>
        </w:rPr>
        <w:t>Gazete’de</w:t>
      </w:r>
      <w:proofErr w:type="spellEnd"/>
      <w:r w:rsidRPr="00AB7ADE">
        <w:rPr>
          <w:i/>
          <w:iCs/>
          <w:sz w:val="20"/>
          <w:szCs w:val="20"/>
        </w:rPr>
        <w:t xml:space="preserve"> yayımlanan Sektörel Dış Ticaret Şirketleri Statüsüne İlişkin Tebliğ (İhracat: 2004/4) kapsamında, aracılı ihracat sözleşmesine dayanarak Dış Ticaret Sermaye Şirketleri (DTSŞ) veya Sektörel Dış Ticaret Şirketleri (SDTŞ) üzerinden gerçekleştirilecek ihracatlar ile 17/8/2022 tarihli ve 5973 sayılı Cumhurbaşkanı Kararı ile yürürlüğe konulan İhracat Destekleri Hakkında Karar kapsamındaki İhracat Konsorsiyumu ve 24/8/2022 tarihli ve 5986 sayılı Cumhurbaşkanı Kararı ile yürürlüğe konulan E-</w:t>
      </w:r>
      <w:proofErr w:type="spellStart"/>
      <w:r w:rsidRPr="00AB7ADE">
        <w:rPr>
          <w:i/>
          <w:iCs/>
          <w:sz w:val="20"/>
          <w:szCs w:val="20"/>
        </w:rPr>
        <w:t>İhracatDestekleri</w:t>
      </w:r>
      <w:proofErr w:type="spellEnd"/>
      <w:r w:rsidRPr="00AB7ADE">
        <w:rPr>
          <w:i/>
          <w:iCs/>
          <w:sz w:val="20"/>
          <w:szCs w:val="20"/>
        </w:rPr>
        <w:t xml:space="preserve"> Hakkında Karar kapsamındaki E-İhracat Konsorsiyumu statüsüne sahip şirketler üzerinden aracılı ihracat sözleşmesine dayanarak gerçekleştirilecek ihracatlara yönelik menkul satış sözleşmeleri kapsamındaki ödeme yükümlülükleri. </w:t>
      </w:r>
    </w:p>
    <w:p w14:paraId="07C5BC13" w14:textId="77777777" w:rsidR="00AB7ADE" w:rsidRPr="00AB7ADE" w:rsidRDefault="00AB7ADE" w:rsidP="00AB7ADE">
      <w:pPr>
        <w:jc w:val="both"/>
        <w:rPr>
          <w:i/>
          <w:iCs/>
          <w:sz w:val="20"/>
          <w:szCs w:val="20"/>
        </w:rPr>
      </w:pPr>
      <w:r w:rsidRPr="00AB7ADE">
        <w:rPr>
          <w:i/>
          <w:iCs/>
          <w:sz w:val="20"/>
          <w:szCs w:val="20"/>
        </w:rPr>
        <w:t xml:space="preserve">d) Gümrük beyannamesine tabi tutulan </w:t>
      </w:r>
      <w:proofErr w:type="spellStart"/>
      <w:r w:rsidRPr="00AB7ADE">
        <w:rPr>
          <w:i/>
          <w:iCs/>
          <w:sz w:val="20"/>
          <w:szCs w:val="20"/>
        </w:rPr>
        <w:t>ihrakiye</w:t>
      </w:r>
      <w:proofErr w:type="spellEnd"/>
      <w:r w:rsidRPr="00AB7ADE">
        <w:rPr>
          <w:i/>
          <w:iCs/>
          <w:sz w:val="20"/>
          <w:szCs w:val="20"/>
        </w:rPr>
        <w:t xml:space="preserve"> satış ve teslimi dahil 27/10/1999 tarihli ve 4458 sayılı Gümrük Kanunundaki transit ve gümrük antrepo rejimleri ile geçici depolama ve serbest bölge hükümlerinin uygulandığı malların teslimine ilişkin akdedilen menkul satış sözleşmeleri kapsamındaki ödeme yükümlülükleri. </w:t>
      </w:r>
    </w:p>
    <w:p w14:paraId="5DB7AA50" w14:textId="4FB13CA0" w:rsidR="00AB7ADE" w:rsidRPr="00AB7ADE" w:rsidRDefault="00AB7ADE" w:rsidP="00AB7ADE">
      <w:pPr>
        <w:jc w:val="both"/>
        <w:rPr>
          <w:i/>
          <w:iCs/>
          <w:sz w:val="20"/>
          <w:szCs w:val="20"/>
        </w:rPr>
      </w:pPr>
      <w:r w:rsidRPr="00AB7ADE">
        <w:rPr>
          <w:i/>
          <w:iCs/>
          <w:sz w:val="20"/>
          <w:szCs w:val="20"/>
        </w:rPr>
        <w:lastRenderedPageBreak/>
        <w:t>e) Serbest bölgede faaliyet gösteren firmalar ile dış ticaret işlemleri kapsamında yapılan menkul satış sözleşmesine konu ma</w:t>
      </w:r>
      <w:r>
        <w:rPr>
          <w:i/>
          <w:iCs/>
          <w:sz w:val="20"/>
          <w:szCs w:val="20"/>
        </w:rPr>
        <w:t>l</w:t>
      </w:r>
      <w:r w:rsidRPr="00AB7ADE">
        <w:rPr>
          <w:i/>
          <w:iCs/>
          <w:sz w:val="20"/>
          <w:szCs w:val="20"/>
        </w:rPr>
        <w:t>ların teslimine ilişkin ödeme yükümlülükleri.”</w:t>
      </w:r>
    </w:p>
    <w:p w14:paraId="0D8D80B9" w14:textId="77777777" w:rsidR="00F831EA" w:rsidRPr="00F831EA" w:rsidRDefault="00F831EA" w:rsidP="00F831EA">
      <w:pPr>
        <w:jc w:val="both"/>
        <w:rPr>
          <w:i/>
          <w:iCs/>
        </w:rPr>
      </w:pPr>
      <w:r>
        <w:t xml:space="preserve">Menkul satışı, Borçlar Kanunu’nun 209. maddesinde tanımlanmıştır. Buna göre, </w:t>
      </w:r>
      <w:r w:rsidRPr="00F831EA">
        <w:rPr>
          <w:i/>
          <w:iCs/>
        </w:rPr>
        <w:t>“Taşınır (menkul) satışı, Türk Medenî Kanunu uyarınca taşınmaz sayılanlar dışında kalan ve diğer kanunlarda taşınır olarak belirtilen şeylerin satışıdır”.</w:t>
      </w:r>
    </w:p>
    <w:p w14:paraId="3C69D4B0" w14:textId="5118184F" w:rsidR="00AB7ADE" w:rsidRDefault="00AB7ADE" w:rsidP="00AB7ADE">
      <w:pPr>
        <w:jc w:val="both"/>
        <w:rPr>
          <w:b/>
          <w:bCs/>
        </w:rPr>
      </w:pPr>
      <w:r w:rsidRPr="00A47F43">
        <w:rPr>
          <w:b/>
          <w:bCs/>
        </w:rPr>
        <w:t xml:space="preserve">Yapılan bu değişiklikle, taşıt satış sözleşmeleri dışında menkul satış sözleşmelerinde geçmişte olduğu gibi şimdi de </w:t>
      </w:r>
      <w:r w:rsidRPr="007843E5">
        <w:rPr>
          <w:b/>
          <w:bCs/>
        </w:rPr>
        <w:t>sözleşme bedelini</w:t>
      </w:r>
      <w:r w:rsidR="00A47F43">
        <w:rPr>
          <w:b/>
          <w:bCs/>
        </w:rPr>
        <w:t>n</w:t>
      </w:r>
      <w:r w:rsidRPr="007843E5">
        <w:rPr>
          <w:b/>
          <w:bCs/>
        </w:rPr>
        <w:t xml:space="preserve"> ve bu sözleşmelerden kaynaklanan diğer ödeme yükümlülüklerini</w:t>
      </w:r>
      <w:r w:rsidRPr="00A47F43">
        <w:rPr>
          <w:b/>
          <w:bCs/>
        </w:rPr>
        <w:t>n</w:t>
      </w:r>
      <w:r w:rsidRPr="007843E5">
        <w:rPr>
          <w:b/>
          <w:bCs/>
        </w:rPr>
        <w:t xml:space="preserve"> döviz cinsinden veya dövize endeksli olarak kararlaştır</w:t>
      </w:r>
      <w:r w:rsidRPr="00A47F43">
        <w:rPr>
          <w:b/>
          <w:bCs/>
        </w:rPr>
        <w:t>ılması</w:t>
      </w:r>
      <w:r w:rsidRPr="007843E5">
        <w:rPr>
          <w:b/>
          <w:bCs/>
        </w:rPr>
        <w:t xml:space="preserve"> mümkündür</w:t>
      </w:r>
      <w:r w:rsidRPr="00A47F43">
        <w:rPr>
          <w:b/>
          <w:bCs/>
        </w:rPr>
        <w:t xml:space="preserve">. Ancak değişiklik öncesinde, </w:t>
      </w:r>
      <w:r w:rsidR="00F831EA">
        <w:rPr>
          <w:b/>
          <w:bCs/>
        </w:rPr>
        <w:t xml:space="preserve">anılan maddede </w:t>
      </w:r>
      <w:r w:rsidRPr="00A47F43">
        <w:rPr>
          <w:b/>
          <w:bCs/>
        </w:rPr>
        <w:t xml:space="preserve">belirtilen istisnalar dışında ödeme yükümlülüklerinin Türk parası cinsinden yerine getirilmesi ve kabul edilmesi zorunluydu. Yapılan düzenleme ile </w:t>
      </w:r>
      <w:r w:rsidR="00A47F43" w:rsidRPr="00A47F43">
        <w:rPr>
          <w:b/>
          <w:bCs/>
        </w:rPr>
        <w:t xml:space="preserve">06 Mart 2025 tarihinden itibaren </w:t>
      </w:r>
      <w:r w:rsidRPr="00A47F43">
        <w:rPr>
          <w:b/>
          <w:bCs/>
        </w:rPr>
        <w:t>bu zorunluluk ortadan kalkmış</w:t>
      </w:r>
      <w:r w:rsidR="00A47F43" w:rsidRPr="00A47F43">
        <w:rPr>
          <w:b/>
          <w:bCs/>
        </w:rPr>
        <w:t>t</w:t>
      </w:r>
      <w:r w:rsidRPr="00A47F43">
        <w:rPr>
          <w:b/>
          <w:bCs/>
        </w:rPr>
        <w:t>ır.</w:t>
      </w:r>
      <w:r w:rsidR="00675220">
        <w:rPr>
          <w:b/>
          <w:bCs/>
        </w:rPr>
        <w:t xml:space="preserve"> </w:t>
      </w:r>
    </w:p>
    <w:p w14:paraId="7B12E558" w14:textId="69F703DB" w:rsidR="00675220" w:rsidRPr="00A47F43" w:rsidRDefault="00675220" w:rsidP="00AB7ADE">
      <w:pPr>
        <w:jc w:val="both"/>
        <w:rPr>
          <w:b/>
          <w:bCs/>
        </w:rPr>
      </w:pPr>
      <w:r>
        <w:rPr>
          <w:b/>
          <w:bCs/>
        </w:rPr>
        <w:t xml:space="preserve">Yapılan değişiklik sadece “taşıtlar hariç menkul satış </w:t>
      </w:r>
      <w:proofErr w:type="spellStart"/>
      <w:r>
        <w:rPr>
          <w:b/>
          <w:bCs/>
        </w:rPr>
        <w:t>sözleşmeleri”ni</w:t>
      </w:r>
      <w:proofErr w:type="spellEnd"/>
      <w:r>
        <w:rPr>
          <w:b/>
          <w:bCs/>
        </w:rPr>
        <w:t xml:space="preserve"> içermekte olup, diğer sözleşmelerde 2008/32-34 </w:t>
      </w:r>
      <w:proofErr w:type="spellStart"/>
      <w:r>
        <w:rPr>
          <w:b/>
          <w:bCs/>
        </w:rPr>
        <w:t>No’lu</w:t>
      </w:r>
      <w:proofErr w:type="spellEnd"/>
      <w:r>
        <w:rPr>
          <w:b/>
          <w:bCs/>
        </w:rPr>
        <w:t xml:space="preserve"> Tebliğde belirtilen düzenlemeler geçerliliğini sürdürmektedir.</w:t>
      </w:r>
    </w:p>
    <w:p w14:paraId="321D8C41" w14:textId="4C6DB537" w:rsidR="00AB7ADE" w:rsidRDefault="00AF313F" w:rsidP="00AB7ADE">
      <w:pPr>
        <w:jc w:val="both"/>
      </w:pPr>
      <w:r>
        <w:t xml:space="preserve">06 Mart 2025 tarihinden itibaren geçerli olmak üzere </w:t>
      </w:r>
      <w:r w:rsidR="000D6195">
        <w:t xml:space="preserve">2008/32-34 sayılı Tebliğin </w:t>
      </w:r>
      <w:r>
        <w:t>8. maddenin 15. fıkrası aşağıdaki şekilde değiştirilmiştir:</w:t>
      </w:r>
    </w:p>
    <w:p w14:paraId="59016093" w14:textId="2804C600" w:rsidR="00AF313F" w:rsidRPr="00AF313F" w:rsidRDefault="00AF313F" w:rsidP="00AF313F">
      <w:pPr>
        <w:shd w:val="clear" w:color="auto" w:fill="F2F2F2" w:themeFill="background1" w:themeFillShade="F2"/>
        <w:jc w:val="both"/>
        <w:rPr>
          <w:i/>
          <w:iCs/>
          <w:sz w:val="20"/>
          <w:szCs w:val="20"/>
        </w:rPr>
      </w:pPr>
      <w:r w:rsidRPr="00AF313F">
        <w:rPr>
          <w:i/>
          <w:iCs/>
          <w:sz w:val="20"/>
          <w:szCs w:val="20"/>
        </w:rPr>
        <w:t>“(15) On altıncı fıkra hükümleri saklı kalmak kaydıyla, kamu kurum ve kuruluşlarının veya Türk Silahlı Kuvvetlerini Güçlendirme Vakfı şirketleri ile Endüstriyel Yetkinlik Değerlendirme ve Destekleme Programı (EYDEP) kapsamında (A) veya (B) seviye sertifikaya sahip olan şirketlerin taraf olduğu gayrimenkul satış ve gayrimenkul kiralama dışında kalan sözleşmelerde, sözleşme bedelinin ve bu sözleşmelerden kaynaklanan diğer ödeme yükümlülüklerin döviz cinsinden veya dövize endeksli olarak  kararlaştırılması mümkündür”.</w:t>
      </w:r>
    </w:p>
    <w:p w14:paraId="66051530" w14:textId="77777777" w:rsidR="007843E5" w:rsidRDefault="007843E5" w:rsidP="007843E5"/>
    <w:p w14:paraId="79A10C90" w14:textId="34C3F1AA" w:rsidR="003F7633" w:rsidRPr="003F7633" w:rsidRDefault="003F7633" w:rsidP="003F7633">
      <w:pPr>
        <w:rPr>
          <w:b/>
          <w:bCs/>
          <w:sz w:val="26"/>
          <w:szCs w:val="26"/>
        </w:rPr>
      </w:pPr>
      <w:r w:rsidRPr="003F7633">
        <w:rPr>
          <w:b/>
          <w:bCs/>
          <w:sz w:val="26"/>
          <w:szCs w:val="26"/>
        </w:rPr>
        <w:t>II-</w:t>
      </w:r>
      <w:r w:rsidRPr="003F7633">
        <w:rPr>
          <w:sz w:val="26"/>
          <w:szCs w:val="26"/>
        </w:rPr>
        <w:t xml:space="preserve"> </w:t>
      </w:r>
      <w:r w:rsidRPr="003F7633">
        <w:rPr>
          <w:b/>
          <w:bCs/>
          <w:sz w:val="26"/>
          <w:szCs w:val="26"/>
        </w:rPr>
        <w:t>TÜRK PARASI KIYMETİNİ KORUMA HAKKINDA 32 SAYILI KARARA İLİŞKİN TEBLİĞ (TEBLİĞ NO: 2018-32/45)’DE DEĞİŞİKLİK YAPILMIŞTIR</w:t>
      </w:r>
    </w:p>
    <w:p w14:paraId="5D03A8E9" w14:textId="77777777" w:rsidR="003F7633" w:rsidRDefault="003F7633" w:rsidP="00B2368F">
      <w:pPr>
        <w:jc w:val="both"/>
      </w:pPr>
      <w:r w:rsidRPr="003F7633">
        <w:t>Türk Parası Kıymetini Koruma Hakkında 32 Sayılı Karara İlişkin</w:t>
      </w:r>
      <w:r>
        <w:t xml:space="preserve"> </w:t>
      </w:r>
      <w:r w:rsidRPr="003F7633">
        <w:t>Tebliğ (Tebliğ No: 2018-32/45)’</w:t>
      </w:r>
      <w:r>
        <w:t>d</w:t>
      </w:r>
      <w:r w:rsidRPr="003F7633">
        <w:t>e Değişiklik Yapılmasına</w:t>
      </w:r>
      <w:r>
        <w:t xml:space="preserve"> </w:t>
      </w:r>
      <w:r w:rsidRPr="003F7633">
        <w:t>Dair Tebliğ (Tebliğ No: 2025-32/73)</w:t>
      </w:r>
      <w:r>
        <w:t xml:space="preserve"> 06 Mart 2025 tarihli ve 32833 sayılı Resmî </w:t>
      </w:r>
      <w:proofErr w:type="spellStart"/>
      <w:r>
        <w:t>Gazete’de</w:t>
      </w:r>
      <w:proofErr w:type="spellEnd"/>
      <w:r>
        <w:t xml:space="preserve"> yayımlanmıştır. Yayımı tarihinde yürürlüğe giren bu düzenlemeye göre;</w:t>
      </w:r>
    </w:p>
    <w:p w14:paraId="58412396" w14:textId="5D414720" w:rsidR="003F7633" w:rsidRPr="003F7633" w:rsidRDefault="00B2368F" w:rsidP="00B2368F">
      <w:pPr>
        <w:jc w:val="both"/>
      </w:pPr>
      <w:r>
        <w:t>“</w:t>
      </w:r>
      <w:r w:rsidRPr="00B2368F">
        <w:t xml:space="preserve">30/1/2018 tarihli ve 30317 sayılı Resmî </w:t>
      </w:r>
      <w:proofErr w:type="spellStart"/>
      <w:r w:rsidRPr="00B2368F">
        <w:t>Gazete’de</w:t>
      </w:r>
      <w:proofErr w:type="spellEnd"/>
      <w:r w:rsidRPr="00B2368F">
        <w:t xml:space="preserve"> yayımlanan Türk Parası Kıymetini Koruma Hakkında 32 Sayılı Karara İlişkin Tebliğ (Tebliğ No: 2018-32/45)’in 26</w:t>
      </w:r>
      <w:r>
        <w:t>’</w:t>
      </w:r>
      <w:r w:rsidRPr="00B2368F">
        <w:t>ncı maddesinin birinci ve beşinci fıkralarında yer alan “1” ibareleri “2” şeklinde değiştirilmiştir</w:t>
      </w:r>
      <w:r>
        <w:t>”</w:t>
      </w:r>
      <w:r w:rsidRPr="00B2368F">
        <w:t>.</w:t>
      </w:r>
    </w:p>
    <w:p w14:paraId="42BE3968" w14:textId="4E4F9DFC" w:rsidR="003F7633" w:rsidRDefault="00B2368F" w:rsidP="007843E5">
      <w:r>
        <w:t xml:space="preserve">2018-32/45 </w:t>
      </w:r>
      <w:proofErr w:type="spellStart"/>
      <w:r>
        <w:t>No’lu</w:t>
      </w:r>
      <w:proofErr w:type="spellEnd"/>
      <w:r>
        <w:t xml:space="preserve"> Tebliğin 26. maddesinin son hali aşağıdaki gibidir:</w:t>
      </w:r>
    </w:p>
    <w:p w14:paraId="39A961E8" w14:textId="77777777" w:rsidR="00B2368F" w:rsidRPr="00B2368F" w:rsidRDefault="00B2368F" w:rsidP="00B2368F">
      <w:pPr>
        <w:shd w:val="clear" w:color="auto" w:fill="F2F2F2" w:themeFill="background1" w:themeFillShade="F2"/>
        <w:rPr>
          <w:i/>
          <w:iCs/>
          <w:sz w:val="20"/>
          <w:szCs w:val="20"/>
        </w:rPr>
      </w:pPr>
      <w:r w:rsidRPr="00B2368F">
        <w:rPr>
          <w:b/>
          <w:bCs/>
          <w:i/>
          <w:iCs/>
          <w:sz w:val="20"/>
          <w:szCs w:val="20"/>
        </w:rPr>
        <w:t>Kamera ve görüntü kayıt sistemi</w:t>
      </w:r>
    </w:p>
    <w:p w14:paraId="321DC218" w14:textId="3C7D0171" w:rsidR="00B2368F" w:rsidRPr="00B2368F" w:rsidRDefault="00B2368F" w:rsidP="00B2368F">
      <w:pPr>
        <w:shd w:val="clear" w:color="auto" w:fill="F2F2F2" w:themeFill="background1" w:themeFillShade="F2"/>
        <w:rPr>
          <w:i/>
          <w:iCs/>
          <w:sz w:val="20"/>
          <w:szCs w:val="20"/>
        </w:rPr>
      </w:pPr>
      <w:r w:rsidRPr="00B2368F">
        <w:rPr>
          <w:b/>
          <w:bCs/>
          <w:i/>
          <w:iCs/>
          <w:sz w:val="20"/>
          <w:szCs w:val="20"/>
        </w:rPr>
        <w:t>MADDE 26 – </w:t>
      </w:r>
    </w:p>
    <w:p w14:paraId="3AABF121" w14:textId="7CFE5127" w:rsidR="00B2368F" w:rsidRPr="00B2368F" w:rsidRDefault="00B2368F" w:rsidP="00B2368F">
      <w:pPr>
        <w:shd w:val="clear" w:color="auto" w:fill="F2F2F2" w:themeFill="background1" w:themeFillShade="F2"/>
        <w:rPr>
          <w:b/>
          <w:bCs/>
          <w:i/>
          <w:iCs/>
          <w:sz w:val="20"/>
          <w:szCs w:val="20"/>
        </w:rPr>
      </w:pPr>
      <w:r w:rsidRPr="00B2368F">
        <w:rPr>
          <w:b/>
          <w:bCs/>
          <w:i/>
          <w:iCs/>
          <w:sz w:val="20"/>
          <w:szCs w:val="20"/>
        </w:rPr>
        <w:t>(1) Yetkili müesseseler Bakanlıkça belirlenen usul ve esaslar çerçevesinde kamera ve görüntü kayıt sistemini çalışır şekilde kurulu bulundurmak zorundadır. Kamera ve görüntü kayıt sistemleri ile elde edilen kayıtların kayıt tarihinden itibaren en az</w:t>
      </w:r>
      <w:r w:rsidRPr="00B2368F">
        <w:rPr>
          <w:i/>
          <w:iCs/>
          <w:sz w:val="20"/>
          <w:szCs w:val="20"/>
        </w:rPr>
        <w:t> </w:t>
      </w:r>
      <w:r w:rsidRPr="00B2368F">
        <w:rPr>
          <w:b/>
          <w:bCs/>
          <w:i/>
          <w:iCs/>
          <w:sz w:val="20"/>
          <w:szCs w:val="20"/>
        </w:rPr>
        <w:t>2 yıl süreyle saklanması zorunludur.</w:t>
      </w:r>
    </w:p>
    <w:p w14:paraId="714E53BB" w14:textId="77777777" w:rsidR="00B2368F" w:rsidRPr="00B2368F" w:rsidRDefault="00B2368F" w:rsidP="00B2368F">
      <w:pPr>
        <w:shd w:val="clear" w:color="auto" w:fill="F2F2F2" w:themeFill="background1" w:themeFillShade="F2"/>
        <w:rPr>
          <w:i/>
          <w:iCs/>
          <w:sz w:val="20"/>
          <w:szCs w:val="20"/>
        </w:rPr>
      </w:pPr>
      <w:r w:rsidRPr="00B2368F">
        <w:rPr>
          <w:i/>
          <w:iCs/>
          <w:sz w:val="20"/>
          <w:szCs w:val="20"/>
        </w:rPr>
        <w:t>(2) Yetkili müesseseler faaliyete ara verdikleri dönemde kamera ve görüntü kayıt sistemlerini çalışır durumda bırakmak zorundadır. Kamera ve görüntü kayıt sisteminin kapatılmasını zorunlu kılan tadilat ve benzeri mücbir sebep hallerinin varlığı durumunda önceden Bakanlığa bilgi verilmesi zorunludur.</w:t>
      </w:r>
    </w:p>
    <w:p w14:paraId="64EF177B" w14:textId="77777777" w:rsidR="00B2368F" w:rsidRPr="00B2368F" w:rsidRDefault="00B2368F" w:rsidP="00B2368F">
      <w:pPr>
        <w:shd w:val="clear" w:color="auto" w:fill="F2F2F2" w:themeFill="background1" w:themeFillShade="F2"/>
        <w:rPr>
          <w:i/>
          <w:iCs/>
          <w:sz w:val="20"/>
          <w:szCs w:val="20"/>
        </w:rPr>
      </w:pPr>
      <w:r w:rsidRPr="00B2368F">
        <w:rPr>
          <w:i/>
          <w:iCs/>
          <w:sz w:val="20"/>
          <w:szCs w:val="20"/>
        </w:rPr>
        <w:lastRenderedPageBreak/>
        <w:t>(3) Yetkili müesseseler Bakanlıkça belirlenen usul ve esaslar çerçevesinde kamera sisteminin çalışıp çalışmadığına ilişkin her gün gerekli kontrolleri yapmak ve meydana gelen arızaları Bakanlığa ve sistemin bakımını üstlenen firmalara bildirmek zorundadır.</w:t>
      </w:r>
    </w:p>
    <w:p w14:paraId="4364AEE9" w14:textId="77777777" w:rsidR="00B2368F" w:rsidRPr="00B2368F" w:rsidRDefault="00B2368F" w:rsidP="00B2368F">
      <w:pPr>
        <w:shd w:val="clear" w:color="auto" w:fill="F2F2F2" w:themeFill="background1" w:themeFillShade="F2"/>
        <w:rPr>
          <w:i/>
          <w:iCs/>
          <w:sz w:val="20"/>
          <w:szCs w:val="20"/>
        </w:rPr>
      </w:pPr>
      <w:r w:rsidRPr="00B2368F">
        <w:rPr>
          <w:i/>
          <w:iCs/>
          <w:sz w:val="20"/>
          <w:szCs w:val="20"/>
        </w:rPr>
        <w:t>(4) Kamera ve görüntü kayıt sisteminin bu Tebliğde yer alan şartları taşıyacak şekilde kurulduğuna ilişkin söz konusu sistemleri kuran firmalardan belge alınması zorunludur.</w:t>
      </w:r>
    </w:p>
    <w:p w14:paraId="089709B3" w14:textId="437C3F60" w:rsidR="00B2368F" w:rsidRPr="00B2368F" w:rsidRDefault="00B2368F" w:rsidP="00B2368F">
      <w:pPr>
        <w:shd w:val="clear" w:color="auto" w:fill="F2F2F2" w:themeFill="background1" w:themeFillShade="F2"/>
        <w:rPr>
          <w:b/>
          <w:bCs/>
          <w:i/>
          <w:iCs/>
          <w:sz w:val="20"/>
          <w:szCs w:val="20"/>
        </w:rPr>
      </w:pPr>
      <w:r w:rsidRPr="00B2368F">
        <w:rPr>
          <w:b/>
          <w:bCs/>
          <w:i/>
          <w:iCs/>
          <w:sz w:val="20"/>
          <w:szCs w:val="20"/>
        </w:rPr>
        <w:t>(5) Yetkili müesseselerin kamera ve görüntü kayıt sistemleri ile elde edilen kayıtları haftalık olarak mevcut iş yerlerinden farklı bir lokasyonda veya bulut bilişim hizmetlerini kullanmak suretiyle aynı görüntü kalitesiyle yedeklemesi ve bu verileri en az 2 yıl süreyle saklaması zorunludur.</w:t>
      </w:r>
    </w:p>
    <w:p w14:paraId="0F606108" w14:textId="7C08FF32" w:rsidR="00B2368F" w:rsidRPr="007843E5" w:rsidRDefault="00B2368F" w:rsidP="00AD38D3">
      <w:pPr>
        <w:jc w:val="both"/>
      </w:pPr>
      <w:r w:rsidRPr="00B2368F">
        <w:t>Yetkili Müessese</w:t>
      </w:r>
      <w:r>
        <w:t>ler,</w:t>
      </w:r>
      <w:r w:rsidRPr="00B2368F">
        <w:t xml:space="preserve"> </w:t>
      </w:r>
      <w:r>
        <w:t xml:space="preserve">2018/32-45 </w:t>
      </w:r>
      <w:proofErr w:type="spellStart"/>
      <w:r>
        <w:t>No’lu</w:t>
      </w:r>
      <w:proofErr w:type="spellEnd"/>
      <w:r w:rsidRPr="00B2368F">
        <w:t xml:space="preserve"> Tebliğde tespit edilen usul ve esaslar çerçevesinde işlemler yapmasına izin verilen anonim şirketleri</w:t>
      </w:r>
      <w:r>
        <w:t xml:space="preserve"> ifade etmektedir.</w:t>
      </w:r>
      <w:r w:rsidR="00E651A3">
        <w:t xml:space="preserve"> Söz konusu yetkili müesseseler, anılan Tebliğin 4. maddesi uyarınca esas olarak döviz ve kıymetli maden alım satımıyla uğraşmasına izin verilen anonim şirketlerdir. </w:t>
      </w:r>
    </w:p>
    <w:p w14:paraId="4F3D86E2" w14:textId="77777777" w:rsidR="007843E5" w:rsidRDefault="007843E5" w:rsidP="00C85046">
      <w:pPr>
        <w:jc w:val="both"/>
      </w:pPr>
    </w:p>
    <w:sectPr w:rsidR="007843E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4D94" w14:textId="77777777" w:rsidR="005A69EF" w:rsidRDefault="005A69EF" w:rsidP="000C6223">
      <w:pPr>
        <w:spacing w:after="0" w:line="240" w:lineRule="auto"/>
      </w:pPr>
      <w:r>
        <w:separator/>
      </w:r>
    </w:p>
  </w:endnote>
  <w:endnote w:type="continuationSeparator" w:id="0">
    <w:p w14:paraId="2BB6A65D" w14:textId="77777777" w:rsidR="005A69EF" w:rsidRDefault="005A69EF" w:rsidP="000C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8BA8" w14:textId="77777777" w:rsidR="004477A9" w:rsidRDefault="004477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36899"/>
      <w:docPartObj>
        <w:docPartGallery w:val="Page Numbers (Bottom of Page)"/>
        <w:docPartUnique/>
      </w:docPartObj>
    </w:sdtPr>
    <w:sdtEndPr/>
    <w:sdtContent>
      <w:p w14:paraId="539E9F8F" w14:textId="752FE9D9" w:rsidR="000C6223" w:rsidRDefault="000C6223">
        <w:pPr>
          <w:pStyle w:val="AltBilgi"/>
          <w:jc w:val="right"/>
        </w:pPr>
        <w:r>
          <w:fldChar w:fldCharType="begin"/>
        </w:r>
        <w:r>
          <w:instrText>PAGE   \* MERGEFORMAT</w:instrText>
        </w:r>
        <w:r>
          <w:fldChar w:fldCharType="separate"/>
        </w:r>
        <w:r>
          <w:t>2</w:t>
        </w:r>
        <w:r>
          <w:fldChar w:fldCharType="end"/>
        </w:r>
      </w:p>
    </w:sdtContent>
  </w:sdt>
  <w:p w14:paraId="4C447412" w14:textId="77777777" w:rsidR="000C6223" w:rsidRDefault="000C622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1E15" w14:textId="77777777" w:rsidR="004477A9" w:rsidRDefault="004477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5A8D" w14:textId="77777777" w:rsidR="005A69EF" w:rsidRDefault="005A69EF" w:rsidP="000C6223">
      <w:pPr>
        <w:spacing w:after="0" w:line="240" w:lineRule="auto"/>
      </w:pPr>
      <w:r>
        <w:separator/>
      </w:r>
    </w:p>
  </w:footnote>
  <w:footnote w:type="continuationSeparator" w:id="0">
    <w:p w14:paraId="3451F172" w14:textId="77777777" w:rsidR="005A69EF" w:rsidRDefault="005A69EF" w:rsidP="000C6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D756" w14:textId="77777777" w:rsidR="004477A9" w:rsidRDefault="004477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5E0A" w14:textId="77777777" w:rsidR="004477A9" w:rsidRPr="0033768F" w:rsidRDefault="004477A9" w:rsidP="004477A9">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4E49A47C" w14:textId="77777777" w:rsidR="004477A9" w:rsidRPr="0033768F" w:rsidRDefault="004477A9" w:rsidP="004477A9">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7A3816D0" w14:textId="77777777" w:rsidR="004477A9" w:rsidRDefault="004477A9" w:rsidP="004477A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DC89" w14:textId="77777777" w:rsidR="004477A9" w:rsidRDefault="004477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E5"/>
    <w:rsid w:val="000C6223"/>
    <w:rsid w:val="000D6195"/>
    <w:rsid w:val="000E2AD4"/>
    <w:rsid w:val="002A14AF"/>
    <w:rsid w:val="00326392"/>
    <w:rsid w:val="003F7633"/>
    <w:rsid w:val="004073A7"/>
    <w:rsid w:val="004477A9"/>
    <w:rsid w:val="004A604C"/>
    <w:rsid w:val="004B157A"/>
    <w:rsid w:val="00522BCE"/>
    <w:rsid w:val="005A69EF"/>
    <w:rsid w:val="00675220"/>
    <w:rsid w:val="007843E5"/>
    <w:rsid w:val="00794D3A"/>
    <w:rsid w:val="007A66A5"/>
    <w:rsid w:val="0090068F"/>
    <w:rsid w:val="009B6807"/>
    <w:rsid w:val="00A47F43"/>
    <w:rsid w:val="00AB7ADE"/>
    <w:rsid w:val="00AD38D3"/>
    <w:rsid w:val="00AF313F"/>
    <w:rsid w:val="00B2368F"/>
    <w:rsid w:val="00B522A4"/>
    <w:rsid w:val="00C23507"/>
    <w:rsid w:val="00C85046"/>
    <w:rsid w:val="00E53244"/>
    <w:rsid w:val="00E651A3"/>
    <w:rsid w:val="00E93575"/>
    <w:rsid w:val="00F83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7BCA"/>
  <w15:chartTrackingRefBased/>
  <w15:docId w15:val="{D2A43630-8902-41DB-893B-50B799CC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E5"/>
  </w:style>
  <w:style w:type="paragraph" w:styleId="Balk1">
    <w:name w:val="heading 1"/>
    <w:basedOn w:val="Normal"/>
    <w:next w:val="Normal"/>
    <w:link w:val="Balk1Char"/>
    <w:uiPriority w:val="9"/>
    <w:qFormat/>
    <w:rsid w:val="00784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84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843E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843E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843E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843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43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43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43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43E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843E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843E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843E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843E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843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43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43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43E5"/>
    <w:rPr>
      <w:rFonts w:eastAsiaTheme="majorEastAsia" w:cstheme="majorBidi"/>
      <w:color w:val="272727" w:themeColor="text1" w:themeTint="D8"/>
    </w:rPr>
  </w:style>
  <w:style w:type="paragraph" w:styleId="KonuBal">
    <w:name w:val="Title"/>
    <w:basedOn w:val="Normal"/>
    <w:next w:val="Normal"/>
    <w:link w:val="KonuBalChar"/>
    <w:uiPriority w:val="10"/>
    <w:qFormat/>
    <w:rsid w:val="0078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43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43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43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43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43E5"/>
    <w:rPr>
      <w:i/>
      <w:iCs/>
      <w:color w:val="404040" w:themeColor="text1" w:themeTint="BF"/>
    </w:rPr>
  </w:style>
  <w:style w:type="paragraph" w:styleId="ListeParagraf">
    <w:name w:val="List Paragraph"/>
    <w:basedOn w:val="Normal"/>
    <w:uiPriority w:val="34"/>
    <w:qFormat/>
    <w:rsid w:val="007843E5"/>
    <w:pPr>
      <w:ind w:left="720"/>
      <w:contextualSpacing/>
    </w:pPr>
  </w:style>
  <w:style w:type="character" w:styleId="GlVurgulama">
    <w:name w:val="Intense Emphasis"/>
    <w:basedOn w:val="VarsaylanParagrafYazTipi"/>
    <w:uiPriority w:val="21"/>
    <w:qFormat/>
    <w:rsid w:val="007843E5"/>
    <w:rPr>
      <w:i/>
      <w:iCs/>
      <w:color w:val="2F5496" w:themeColor="accent1" w:themeShade="BF"/>
    </w:rPr>
  </w:style>
  <w:style w:type="paragraph" w:styleId="GlAlnt">
    <w:name w:val="Intense Quote"/>
    <w:basedOn w:val="Normal"/>
    <w:next w:val="Normal"/>
    <w:link w:val="GlAlntChar"/>
    <w:uiPriority w:val="30"/>
    <w:qFormat/>
    <w:rsid w:val="00784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843E5"/>
    <w:rPr>
      <w:i/>
      <w:iCs/>
      <w:color w:val="2F5496" w:themeColor="accent1" w:themeShade="BF"/>
    </w:rPr>
  </w:style>
  <w:style w:type="character" w:styleId="GlBavuru">
    <w:name w:val="Intense Reference"/>
    <w:basedOn w:val="VarsaylanParagrafYazTipi"/>
    <w:uiPriority w:val="32"/>
    <w:qFormat/>
    <w:rsid w:val="007843E5"/>
    <w:rPr>
      <w:b/>
      <w:bCs/>
      <w:smallCaps/>
      <w:color w:val="2F5496" w:themeColor="accent1" w:themeShade="BF"/>
      <w:spacing w:val="5"/>
    </w:rPr>
  </w:style>
  <w:style w:type="paragraph" w:styleId="stBilgi">
    <w:name w:val="header"/>
    <w:basedOn w:val="Normal"/>
    <w:link w:val="stBilgiChar"/>
    <w:uiPriority w:val="99"/>
    <w:unhideWhenUsed/>
    <w:rsid w:val="000C62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6223"/>
  </w:style>
  <w:style w:type="paragraph" w:styleId="AltBilgi">
    <w:name w:val="footer"/>
    <w:basedOn w:val="Normal"/>
    <w:link w:val="AltBilgiChar"/>
    <w:uiPriority w:val="99"/>
    <w:unhideWhenUsed/>
    <w:rsid w:val="000C62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0908">
      <w:bodyDiv w:val="1"/>
      <w:marLeft w:val="0"/>
      <w:marRight w:val="0"/>
      <w:marTop w:val="0"/>
      <w:marBottom w:val="0"/>
      <w:divBdr>
        <w:top w:val="none" w:sz="0" w:space="0" w:color="auto"/>
        <w:left w:val="none" w:sz="0" w:space="0" w:color="auto"/>
        <w:bottom w:val="none" w:sz="0" w:space="0" w:color="auto"/>
        <w:right w:val="none" w:sz="0" w:space="0" w:color="auto"/>
      </w:divBdr>
    </w:div>
    <w:div w:id="460347950">
      <w:bodyDiv w:val="1"/>
      <w:marLeft w:val="0"/>
      <w:marRight w:val="0"/>
      <w:marTop w:val="0"/>
      <w:marBottom w:val="0"/>
      <w:divBdr>
        <w:top w:val="none" w:sz="0" w:space="0" w:color="auto"/>
        <w:left w:val="none" w:sz="0" w:space="0" w:color="auto"/>
        <w:bottom w:val="none" w:sz="0" w:space="0" w:color="auto"/>
        <w:right w:val="none" w:sz="0" w:space="0" w:color="auto"/>
      </w:divBdr>
    </w:div>
    <w:div w:id="502742710">
      <w:bodyDiv w:val="1"/>
      <w:marLeft w:val="0"/>
      <w:marRight w:val="0"/>
      <w:marTop w:val="0"/>
      <w:marBottom w:val="0"/>
      <w:divBdr>
        <w:top w:val="none" w:sz="0" w:space="0" w:color="auto"/>
        <w:left w:val="none" w:sz="0" w:space="0" w:color="auto"/>
        <w:bottom w:val="none" w:sz="0" w:space="0" w:color="auto"/>
        <w:right w:val="none" w:sz="0" w:space="0" w:color="auto"/>
      </w:divBdr>
    </w:div>
    <w:div w:id="788428846">
      <w:bodyDiv w:val="1"/>
      <w:marLeft w:val="0"/>
      <w:marRight w:val="0"/>
      <w:marTop w:val="0"/>
      <w:marBottom w:val="0"/>
      <w:divBdr>
        <w:top w:val="none" w:sz="0" w:space="0" w:color="auto"/>
        <w:left w:val="none" w:sz="0" w:space="0" w:color="auto"/>
        <w:bottom w:val="none" w:sz="0" w:space="0" w:color="auto"/>
        <w:right w:val="none" w:sz="0" w:space="0" w:color="auto"/>
      </w:divBdr>
    </w:div>
    <w:div w:id="851457569">
      <w:bodyDiv w:val="1"/>
      <w:marLeft w:val="0"/>
      <w:marRight w:val="0"/>
      <w:marTop w:val="0"/>
      <w:marBottom w:val="0"/>
      <w:divBdr>
        <w:top w:val="none" w:sz="0" w:space="0" w:color="auto"/>
        <w:left w:val="none" w:sz="0" w:space="0" w:color="auto"/>
        <w:bottom w:val="none" w:sz="0" w:space="0" w:color="auto"/>
        <w:right w:val="none" w:sz="0" w:space="0" w:color="auto"/>
      </w:divBdr>
    </w:div>
    <w:div w:id="951478507">
      <w:bodyDiv w:val="1"/>
      <w:marLeft w:val="0"/>
      <w:marRight w:val="0"/>
      <w:marTop w:val="0"/>
      <w:marBottom w:val="0"/>
      <w:divBdr>
        <w:top w:val="none" w:sz="0" w:space="0" w:color="auto"/>
        <w:left w:val="none" w:sz="0" w:space="0" w:color="auto"/>
        <w:bottom w:val="none" w:sz="0" w:space="0" w:color="auto"/>
        <w:right w:val="none" w:sz="0" w:space="0" w:color="auto"/>
      </w:divBdr>
    </w:div>
    <w:div w:id="1008602354">
      <w:bodyDiv w:val="1"/>
      <w:marLeft w:val="0"/>
      <w:marRight w:val="0"/>
      <w:marTop w:val="0"/>
      <w:marBottom w:val="0"/>
      <w:divBdr>
        <w:top w:val="none" w:sz="0" w:space="0" w:color="auto"/>
        <w:left w:val="none" w:sz="0" w:space="0" w:color="auto"/>
        <w:bottom w:val="none" w:sz="0" w:space="0" w:color="auto"/>
        <w:right w:val="none" w:sz="0" w:space="0" w:color="auto"/>
      </w:divBdr>
    </w:div>
    <w:div w:id="1069615267">
      <w:bodyDiv w:val="1"/>
      <w:marLeft w:val="0"/>
      <w:marRight w:val="0"/>
      <w:marTop w:val="0"/>
      <w:marBottom w:val="0"/>
      <w:divBdr>
        <w:top w:val="none" w:sz="0" w:space="0" w:color="auto"/>
        <w:left w:val="none" w:sz="0" w:space="0" w:color="auto"/>
        <w:bottom w:val="none" w:sz="0" w:space="0" w:color="auto"/>
        <w:right w:val="none" w:sz="0" w:space="0" w:color="auto"/>
      </w:divBdr>
    </w:div>
    <w:div w:id="1089421997">
      <w:bodyDiv w:val="1"/>
      <w:marLeft w:val="0"/>
      <w:marRight w:val="0"/>
      <w:marTop w:val="0"/>
      <w:marBottom w:val="0"/>
      <w:divBdr>
        <w:top w:val="none" w:sz="0" w:space="0" w:color="auto"/>
        <w:left w:val="none" w:sz="0" w:space="0" w:color="auto"/>
        <w:bottom w:val="none" w:sz="0" w:space="0" w:color="auto"/>
        <w:right w:val="none" w:sz="0" w:space="0" w:color="auto"/>
      </w:divBdr>
    </w:div>
    <w:div w:id="1174417904">
      <w:bodyDiv w:val="1"/>
      <w:marLeft w:val="0"/>
      <w:marRight w:val="0"/>
      <w:marTop w:val="0"/>
      <w:marBottom w:val="0"/>
      <w:divBdr>
        <w:top w:val="none" w:sz="0" w:space="0" w:color="auto"/>
        <w:left w:val="none" w:sz="0" w:space="0" w:color="auto"/>
        <w:bottom w:val="none" w:sz="0" w:space="0" w:color="auto"/>
        <w:right w:val="none" w:sz="0" w:space="0" w:color="auto"/>
      </w:divBdr>
    </w:div>
    <w:div w:id="1457017538">
      <w:bodyDiv w:val="1"/>
      <w:marLeft w:val="0"/>
      <w:marRight w:val="0"/>
      <w:marTop w:val="0"/>
      <w:marBottom w:val="0"/>
      <w:divBdr>
        <w:top w:val="none" w:sz="0" w:space="0" w:color="auto"/>
        <w:left w:val="none" w:sz="0" w:space="0" w:color="auto"/>
        <w:bottom w:val="none" w:sz="0" w:space="0" w:color="auto"/>
        <w:right w:val="none" w:sz="0" w:space="0" w:color="auto"/>
      </w:divBdr>
    </w:div>
    <w:div w:id="1504857942">
      <w:bodyDiv w:val="1"/>
      <w:marLeft w:val="0"/>
      <w:marRight w:val="0"/>
      <w:marTop w:val="0"/>
      <w:marBottom w:val="0"/>
      <w:divBdr>
        <w:top w:val="none" w:sz="0" w:space="0" w:color="auto"/>
        <w:left w:val="none" w:sz="0" w:space="0" w:color="auto"/>
        <w:bottom w:val="none" w:sz="0" w:space="0" w:color="auto"/>
        <w:right w:val="none" w:sz="0" w:space="0" w:color="auto"/>
      </w:divBdr>
    </w:div>
    <w:div w:id="1678339091">
      <w:bodyDiv w:val="1"/>
      <w:marLeft w:val="0"/>
      <w:marRight w:val="0"/>
      <w:marTop w:val="0"/>
      <w:marBottom w:val="0"/>
      <w:divBdr>
        <w:top w:val="none" w:sz="0" w:space="0" w:color="auto"/>
        <w:left w:val="none" w:sz="0" w:space="0" w:color="auto"/>
        <w:bottom w:val="none" w:sz="0" w:space="0" w:color="auto"/>
        <w:right w:val="none" w:sz="0" w:space="0" w:color="auto"/>
      </w:divBdr>
    </w:div>
    <w:div w:id="17489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1165</Words>
  <Characters>6645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ATATAS</cp:lastModifiedBy>
  <cp:revision>16</cp:revision>
  <dcterms:created xsi:type="dcterms:W3CDTF">2025-03-06T06:01:00Z</dcterms:created>
  <dcterms:modified xsi:type="dcterms:W3CDTF">2025-03-06T14:09:00Z</dcterms:modified>
</cp:coreProperties>
</file>