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AD4C" w14:textId="6C798633" w:rsidR="00E153E9" w:rsidRPr="00D32217" w:rsidRDefault="00AB09EF" w:rsidP="00E153E9">
      <w:pPr>
        <w:pStyle w:val="stBilgi"/>
        <w:jc w:val="center"/>
        <w:rPr>
          <w:b/>
          <w:bCs/>
          <w:sz w:val="32"/>
          <w:szCs w:val="32"/>
        </w:rPr>
      </w:pPr>
      <w:r>
        <w:rPr>
          <w:b/>
          <w:bCs/>
          <w:sz w:val="32"/>
          <w:szCs w:val="32"/>
        </w:rPr>
        <w:t>VERGİ MEVZUATINDAKİ GELİŞMELER 2025/</w:t>
      </w:r>
      <w:r w:rsidR="00515721">
        <w:rPr>
          <w:b/>
          <w:bCs/>
          <w:sz w:val="32"/>
          <w:szCs w:val="32"/>
        </w:rPr>
        <w:t>KASIM</w:t>
      </w:r>
      <w:r>
        <w:rPr>
          <w:b/>
          <w:bCs/>
          <w:sz w:val="32"/>
          <w:szCs w:val="32"/>
        </w:rPr>
        <w:t>-1</w:t>
      </w:r>
    </w:p>
    <w:p w14:paraId="58690BE2" w14:textId="4E65E37C" w:rsidR="00E153E9" w:rsidRPr="009D6DD7" w:rsidRDefault="00E153E9" w:rsidP="00E153E9">
      <w:pPr>
        <w:pStyle w:val="stBilgi"/>
        <w:jc w:val="center"/>
        <w:rPr>
          <w:b/>
          <w:bCs/>
          <w:sz w:val="18"/>
          <w:szCs w:val="18"/>
        </w:rPr>
      </w:pPr>
      <w:r w:rsidRPr="009D6DD7">
        <w:rPr>
          <w:b/>
          <w:bCs/>
          <w:sz w:val="18"/>
          <w:szCs w:val="18"/>
        </w:rPr>
        <w:t>(</w:t>
      </w:r>
      <w:r>
        <w:rPr>
          <w:b/>
          <w:bCs/>
          <w:sz w:val="18"/>
          <w:szCs w:val="18"/>
        </w:rPr>
        <w:t>30</w:t>
      </w:r>
      <w:r w:rsidRPr="009D6DD7">
        <w:rPr>
          <w:b/>
          <w:bCs/>
          <w:sz w:val="18"/>
          <w:szCs w:val="18"/>
        </w:rPr>
        <w:t>.</w:t>
      </w:r>
      <w:r>
        <w:rPr>
          <w:b/>
          <w:bCs/>
          <w:sz w:val="18"/>
          <w:szCs w:val="18"/>
        </w:rPr>
        <w:t>10</w:t>
      </w:r>
      <w:r w:rsidRPr="009D6DD7">
        <w:rPr>
          <w:b/>
          <w:bCs/>
          <w:sz w:val="18"/>
          <w:szCs w:val="18"/>
        </w:rPr>
        <w:t>.2025</w:t>
      </w:r>
      <w:r w:rsidR="003C38EA">
        <w:rPr>
          <w:b/>
          <w:bCs/>
          <w:sz w:val="18"/>
          <w:szCs w:val="18"/>
        </w:rPr>
        <w:t>-01.11.2025</w:t>
      </w:r>
      <w:r w:rsidRPr="009D6DD7">
        <w:rPr>
          <w:b/>
          <w:bCs/>
          <w:sz w:val="18"/>
          <w:szCs w:val="18"/>
        </w:rPr>
        <w:t>)</w:t>
      </w:r>
    </w:p>
    <w:p w14:paraId="50F9BDAF" w14:textId="77777777" w:rsidR="00E153E9" w:rsidRDefault="00E153E9" w:rsidP="00E153E9"/>
    <w:p w14:paraId="17EEC196" w14:textId="28FB3A24" w:rsidR="00E153E9" w:rsidRPr="001D4951" w:rsidRDefault="00E153E9" w:rsidP="00E153E9">
      <w:pPr>
        <w:jc w:val="both"/>
        <w:rPr>
          <w:b/>
          <w:bCs/>
          <w:sz w:val="26"/>
          <w:szCs w:val="26"/>
        </w:rPr>
      </w:pPr>
      <w:r w:rsidRPr="00E153E9">
        <w:rPr>
          <w:b/>
          <w:bCs/>
          <w:sz w:val="26"/>
          <w:szCs w:val="26"/>
        </w:rPr>
        <w:t>I- TFRS 19 KAMUYA HESAP VERME SORUMLULUĞU BULUNMAYAN BAĞLI ORTAKLIKLAR: AÇIKLAMALAR”A İLİŞKİN DEĞİŞİKLİKLER</w:t>
      </w:r>
      <w:r>
        <w:t xml:space="preserve"> </w:t>
      </w:r>
      <w:r w:rsidRPr="001D4951">
        <w:rPr>
          <w:b/>
          <w:bCs/>
          <w:sz w:val="26"/>
          <w:szCs w:val="26"/>
        </w:rPr>
        <w:t>YAPILMIŞTIR</w:t>
      </w:r>
    </w:p>
    <w:p w14:paraId="3D855742" w14:textId="52701761" w:rsidR="00E153E9" w:rsidRDefault="00E153E9" w:rsidP="00E153E9">
      <w:pPr>
        <w:jc w:val="both"/>
      </w:pPr>
      <w:r w:rsidRPr="001D4951">
        <w:t>Kamu Gözetimi, Muhasebe ve Denetim Standartları Kurulu</w:t>
      </w:r>
      <w:r>
        <w:t>’</w:t>
      </w:r>
      <w:r w:rsidRPr="001D4951">
        <w:t>nun</w:t>
      </w:r>
      <w:r>
        <w:t xml:space="preserve"> 30 Ekim 2025 tarihli ve 33062 sayılı </w:t>
      </w:r>
      <w:proofErr w:type="gramStart"/>
      <w:r>
        <w:t>Resmi</w:t>
      </w:r>
      <w:proofErr w:type="gramEnd"/>
      <w:r>
        <w:t xml:space="preserve"> </w:t>
      </w:r>
      <w:proofErr w:type="spellStart"/>
      <w:r>
        <w:t>Gazete’de</w:t>
      </w:r>
      <w:proofErr w:type="spellEnd"/>
      <w:r>
        <w:t xml:space="preserve"> yayımlanan 26/10/2025 tarihli ve </w:t>
      </w:r>
      <w:r w:rsidRPr="001D4951">
        <w:t>75935942-050.01.04</w:t>
      </w:r>
      <w:proofErr w:type="gramStart"/>
      <w:r w:rsidRPr="001D4951">
        <w:t>-[</w:t>
      </w:r>
      <w:proofErr w:type="gramEnd"/>
      <w:r w:rsidRPr="001D4951">
        <w:t>01/3</w:t>
      </w:r>
      <w:r>
        <w:t>6646</w:t>
      </w:r>
      <w:r w:rsidRPr="001D4951">
        <w:t>]</w:t>
      </w:r>
      <w:r>
        <w:t xml:space="preserve"> sayılı kararı ile “TFRS 19 Kamuya Hesap Verme Sorumluluğu Bulunmayan Bağlı Ortaklıklar: </w:t>
      </w:r>
      <w:proofErr w:type="spellStart"/>
      <w:r>
        <w:t>Açıklamalar”a</w:t>
      </w:r>
      <w:proofErr w:type="spellEnd"/>
      <w:r>
        <w:t xml:space="preserve"> İlişkin Değişiklikler yayımlanmıştır. </w:t>
      </w:r>
    </w:p>
    <w:p w14:paraId="0E49C82B" w14:textId="42414F23" w:rsidR="00C23507" w:rsidRDefault="00E153E9" w:rsidP="00E153E9">
      <w:pPr>
        <w:jc w:val="both"/>
      </w:pPr>
      <w:r>
        <w:t xml:space="preserve">Söz konusu değişiklikleri 30 Ekim 2025 tarihli ve 33062 sayılı </w:t>
      </w:r>
      <w:proofErr w:type="gramStart"/>
      <w:r>
        <w:t>Resmi</w:t>
      </w:r>
      <w:proofErr w:type="gramEnd"/>
      <w:r>
        <w:t xml:space="preserve"> </w:t>
      </w:r>
      <w:proofErr w:type="spellStart"/>
      <w:r>
        <w:t>Gazete’de</w:t>
      </w:r>
      <w:proofErr w:type="spellEnd"/>
      <w:r>
        <w:t xml:space="preserve"> yayımlanan Kararda görmek mümkündür. </w:t>
      </w:r>
    </w:p>
    <w:p w14:paraId="4B4C95DF" w14:textId="77777777" w:rsidR="00E153E9" w:rsidRDefault="00E153E9" w:rsidP="00E153E9">
      <w:pPr>
        <w:jc w:val="both"/>
      </w:pPr>
    </w:p>
    <w:p w14:paraId="309766F1" w14:textId="1D3BCB46" w:rsidR="00E153E9" w:rsidRPr="00E153E9" w:rsidRDefault="00E153E9" w:rsidP="00E153E9">
      <w:pPr>
        <w:jc w:val="both"/>
        <w:rPr>
          <w:b/>
          <w:bCs/>
          <w:sz w:val="26"/>
          <w:szCs w:val="26"/>
        </w:rPr>
      </w:pPr>
      <w:r w:rsidRPr="00E153E9">
        <w:rPr>
          <w:b/>
          <w:bCs/>
          <w:sz w:val="26"/>
          <w:szCs w:val="26"/>
        </w:rPr>
        <w:t>II</w:t>
      </w:r>
      <w:r w:rsidR="002B7E8D">
        <w:rPr>
          <w:b/>
          <w:bCs/>
          <w:sz w:val="26"/>
          <w:szCs w:val="26"/>
        </w:rPr>
        <w:t>-</w:t>
      </w:r>
      <w:r w:rsidRPr="00E153E9">
        <w:rPr>
          <w:b/>
          <w:bCs/>
          <w:sz w:val="26"/>
          <w:szCs w:val="26"/>
        </w:rPr>
        <w:t xml:space="preserve"> KURUMSAL SÜRDÜRÜLEBİLİRLİK RAPORLAMA UZMANLIĞI SINAV ÜCRETLERİ BELİRLENMİŞTİR</w:t>
      </w:r>
    </w:p>
    <w:p w14:paraId="2E885A76" w14:textId="38371759" w:rsidR="00E153E9" w:rsidRDefault="00E153E9" w:rsidP="00E153E9">
      <w:pPr>
        <w:jc w:val="both"/>
      </w:pPr>
      <w:r w:rsidRPr="001D4951">
        <w:t>Kamu Gözetimi, Muhasebe ve Denetim Standartları Kurulu</w:t>
      </w:r>
      <w:r>
        <w:t>’</w:t>
      </w:r>
      <w:r w:rsidRPr="001D4951">
        <w:t>nun</w:t>
      </w:r>
      <w:r>
        <w:t xml:space="preserve"> 30 Ekim 2025 tarihli ve 33062 sayılı </w:t>
      </w:r>
      <w:proofErr w:type="gramStart"/>
      <w:r>
        <w:t>Resmi</w:t>
      </w:r>
      <w:proofErr w:type="gramEnd"/>
      <w:r>
        <w:t xml:space="preserve"> </w:t>
      </w:r>
      <w:proofErr w:type="spellStart"/>
      <w:r>
        <w:t>Gazete’de</w:t>
      </w:r>
      <w:proofErr w:type="spellEnd"/>
      <w:r>
        <w:t xml:space="preserve"> yayımlanan 26/10/2025 tarihli ve </w:t>
      </w:r>
      <w:r w:rsidRPr="001D4951">
        <w:t>75935942-050.01.04</w:t>
      </w:r>
      <w:proofErr w:type="gramStart"/>
      <w:r w:rsidRPr="001D4951">
        <w:t>-[</w:t>
      </w:r>
      <w:proofErr w:type="gramEnd"/>
      <w:r w:rsidRPr="001D4951">
        <w:t>01/3</w:t>
      </w:r>
      <w:r>
        <w:t>6628</w:t>
      </w:r>
      <w:r w:rsidRPr="001D4951">
        <w:t>]</w:t>
      </w:r>
      <w:r>
        <w:t xml:space="preserve"> sayılı kararı ile Kurumsal Sürdürülebilirlik Raporlama Uzmanlığı (KSRU) lisanslama sınav ücreti 1.2</w:t>
      </w:r>
      <w:r w:rsidR="002A5ECB">
        <w:t>0</w:t>
      </w:r>
      <w:r>
        <w:t>0 TL; KSRU lisans belgesi ücreti ise 5.000 TL olarak belirlenmiştir.</w:t>
      </w:r>
    </w:p>
    <w:p w14:paraId="5D97F076" w14:textId="77777777" w:rsidR="00E153E9" w:rsidRDefault="00E153E9" w:rsidP="00E153E9">
      <w:pPr>
        <w:jc w:val="both"/>
      </w:pPr>
    </w:p>
    <w:p w14:paraId="660D7891" w14:textId="62C09DE1" w:rsidR="00BA04B6" w:rsidRPr="00BA04B6" w:rsidRDefault="00BA04B6" w:rsidP="00E153E9">
      <w:pPr>
        <w:jc w:val="both"/>
        <w:rPr>
          <w:b/>
          <w:bCs/>
          <w:sz w:val="26"/>
          <w:szCs w:val="26"/>
        </w:rPr>
      </w:pPr>
      <w:r w:rsidRPr="00BA04B6">
        <w:rPr>
          <w:b/>
          <w:bCs/>
          <w:sz w:val="26"/>
          <w:szCs w:val="26"/>
        </w:rPr>
        <w:t>III- TÜRK PARASI KIYMETİNİ KORUMA HAKKINDA 32 SAYILI KARAR İLE HAZİNE VE MALİYE BAKANLIĞININ 2008-32/34 SAYILI TEBLİĞİNE İLİŞKİN I-M SAYILI TÜRKİYE CUMHURİYET MERKEZ BANKASI GENELGESİNDE DEĞİŞİKLİK YAPILMASINA DAİR GENELGE (SAYI: 2025/25)</w:t>
      </w:r>
      <w:r>
        <w:rPr>
          <w:b/>
          <w:bCs/>
          <w:sz w:val="26"/>
          <w:szCs w:val="26"/>
        </w:rPr>
        <w:t xml:space="preserve"> YAYIMLANMIŞTIR</w:t>
      </w:r>
    </w:p>
    <w:p w14:paraId="0BF57218" w14:textId="0E338363" w:rsidR="00BA04B6" w:rsidRPr="00BA04B6" w:rsidRDefault="00BA04B6" w:rsidP="00BA04B6">
      <w:pPr>
        <w:tabs>
          <w:tab w:val="left" w:pos="3771"/>
        </w:tabs>
        <w:jc w:val="both"/>
      </w:pPr>
      <w:r w:rsidRPr="00BA04B6">
        <w:t>31 Ekim 2025 tarihli ve 33063</w:t>
      </w:r>
      <w:r>
        <w:t xml:space="preserve"> sayılı Resmî </w:t>
      </w:r>
      <w:proofErr w:type="spellStart"/>
      <w:r>
        <w:t>Gazete’de</w:t>
      </w:r>
      <w:proofErr w:type="spellEnd"/>
      <w:r>
        <w:t xml:space="preserve"> yayımlanan 2025/25 sayılı Genelge ile I-M sayılı Türkiye Cumhuriyet Merkez Bankası Genelgesi’nde değişiklik yapılmıştır. Yapılan değişiklik ile Türkiye Cumhuriyet Merkez Bankası’nca alım satım konusu yapılan dövizler yeniden belirlenmiştir. Yeni listeye 31.10.2025 tarihli ve 22063 sayılı </w:t>
      </w:r>
      <w:proofErr w:type="gramStart"/>
      <w:r>
        <w:t>Resmi</w:t>
      </w:r>
      <w:proofErr w:type="gramEnd"/>
      <w:r>
        <w:t xml:space="preserve"> </w:t>
      </w:r>
      <w:proofErr w:type="spellStart"/>
      <w:r>
        <w:t>Gazete’de</w:t>
      </w:r>
      <w:proofErr w:type="spellEnd"/>
      <w:r>
        <w:t xml:space="preserve"> yayımlanan 2025/25 sayılı </w:t>
      </w:r>
      <w:proofErr w:type="spellStart"/>
      <w:r>
        <w:t>Genelge’den</w:t>
      </w:r>
      <w:proofErr w:type="spellEnd"/>
      <w:r>
        <w:t xml:space="preserve"> ulaşmak mümkündür.</w:t>
      </w:r>
    </w:p>
    <w:p w14:paraId="02EEC4EB" w14:textId="77777777" w:rsidR="00BA04B6" w:rsidRDefault="00BA04B6" w:rsidP="007D65E5">
      <w:pPr>
        <w:jc w:val="both"/>
        <w:rPr>
          <w:b/>
          <w:bCs/>
          <w:sz w:val="26"/>
          <w:szCs w:val="26"/>
        </w:rPr>
      </w:pPr>
    </w:p>
    <w:p w14:paraId="1F3B9585" w14:textId="6226BB5D" w:rsidR="007D65E5" w:rsidRDefault="007D65E5" w:rsidP="007D65E5">
      <w:pPr>
        <w:jc w:val="both"/>
        <w:rPr>
          <w:b/>
          <w:bCs/>
          <w:sz w:val="26"/>
          <w:szCs w:val="26"/>
        </w:rPr>
      </w:pPr>
      <w:r w:rsidRPr="007D65E5">
        <w:rPr>
          <w:b/>
          <w:bCs/>
          <w:sz w:val="26"/>
          <w:szCs w:val="26"/>
        </w:rPr>
        <w:t>I</w:t>
      </w:r>
      <w:r w:rsidR="00BA04B6">
        <w:rPr>
          <w:b/>
          <w:bCs/>
          <w:sz w:val="26"/>
          <w:szCs w:val="26"/>
        </w:rPr>
        <w:t>V</w:t>
      </w:r>
      <w:r w:rsidRPr="007D65E5">
        <w:rPr>
          <w:b/>
          <w:bCs/>
          <w:sz w:val="26"/>
          <w:szCs w:val="26"/>
        </w:rPr>
        <w:t>- FİRMALARIN YURT DIŞI KAYNAKLI DÖVİZLERİNİN TÜRK LİRASINA DÖNÜŞÜMÜNÜN DESTEKLENMESİ HAKKINDA TEBLİĞ</w:t>
      </w:r>
      <w:r>
        <w:rPr>
          <w:b/>
          <w:bCs/>
          <w:sz w:val="26"/>
          <w:szCs w:val="26"/>
        </w:rPr>
        <w:t xml:space="preserve">’İN GEÇİCİ 1. MADDESİNDEKİ SÜRE </w:t>
      </w:r>
      <w:r w:rsidR="00785F6A">
        <w:rPr>
          <w:b/>
          <w:bCs/>
          <w:sz w:val="26"/>
          <w:szCs w:val="26"/>
        </w:rPr>
        <w:t xml:space="preserve">30/04/2026 TARİHİNE </w:t>
      </w:r>
      <w:r>
        <w:rPr>
          <w:b/>
          <w:bCs/>
          <w:sz w:val="26"/>
          <w:szCs w:val="26"/>
        </w:rPr>
        <w:t>UZATILMIŞTIR</w:t>
      </w:r>
    </w:p>
    <w:p w14:paraId="1E68F88D" w14:textId="37982E00" w:rsidR="007D65E5" w:rsidRDefault="00BA04B6" w:rsidP="007D65E5">
      <w:pPr>
        <w:jc w:val="both"/>
      </w:pPr>
      <w:r>
        <w:t xml:space="preserve">01 Kasım 2025 tarihli ve 33064 sayılı Resmî </w:t>
      </w:r>
      <w:proofErr w:type="spellStart"/>
      <w:r>
        <w:t>Gazete’de</w:t>
      </w:r>
      <w:proofErr w:type="spellEnd"/>
      <w:r>
        <w:t xml:space="preserve"> yayımlanan </w:t>
      </w:r>
      <w:r w:rsidRPr="00BA04B6">
        <w:t>Firmaların Yurt Dışı Kaynaklı Dövizlerinin Türk Lirasına Dönüşümünün Desteklenmesi Hakkında Tebliğ (Sayı: 2023/5)’</w:t>
      </w:r>
      <w:r>
        <w:t>d</w:t>
      </w:r>
      <w:r w:rsidRPr="00BA04B6">
        <w:t xml:space="preserve">e Değişiklik Yapılmasına Dair Tebliğ (Sayı: 2025/26) </w:t>
      </w:r>
      <w:r w:rsidR="003C38EA">
        <w:t>i</w:t>
      </w:r>
      <w:r w:rsidRPr="00BA04B6">
        <w:t>le</w:t>
      </w:r>
      <w:r>
        <w:t xml:space="preserve"> </w:t>
      </w:r>
      <w:r w:rsidR="007D65E5" w:rsidRPr="007D65E5">
        <w:t xml:space="preserve">26/1/2023 tarihli ve 32085 sayılı Resmî </w:t>
      </w:r>
      <w:proofErr w:type="spellStart"/>
      <w:r w:rsidR="007D65E5" w:rsidRPr="007D65E5">
        <w:t>Gazete’de</w:t>
      </w:r>
      <w:proofErr w:type="spellEnd"/>
      <w:r w:rsidR="007D65E5" w:rsidRPr="007D65E5">
        <w:t xml:space="preserve"> yayımlanan </w:t>
      </w:r>
      <w:r w:rsidR="007D65E5" w:rsidRPr="007D65E5">
        <w:lastRenderedPageBreak/>
        <w:t xml:space="preserve">Firmaların Yurt Dışı Kaynaklı Dövizlerinin Türk </w:t>
      </w:r>
      <w:proofErr w:type="gramStart"/>
      <w:r w:rsidR="007D65E5" w:rsidRPr="007D65E5">
        <w:t>Lirasına</w:t>
      </w:r>
      <w:proofErr w:type="gramEnd"/>
      <w:r w:rsidR="007D65E5" w:rsidRPr="007D65E5">
        <w:t xml:space="preserve"> Dönüşümünün Desteklenmesi Hakkında Tebliğ (Sayı: 2023/5)’in geçici 1</w:t>
      </w:r>
      <w:r w:rsidR="007D65E5">
        <w:t>’</w:t>
      </w:r>
      <w:r w:rsidR="007D65E5" w:rsidRPr="007D65E5">
        <w:t>inci maddesinde yer alan “31/10/2025” ibaresi “30/4/2026” şeklinde değiştirilmiştir.</w:t>
      </w:r>
      <w:r w:rsidR="00891FD8">
        <w:t xml:space="preserve"> Tebliğ değişikliği yayımı tarihinde yürürlüğe girmiştir.</w:t>
      </w:r>
      <w:r>
        <w:t xml:space="preserve"> </w:t>
      </w:r>
    </w:p>
    <w:p w14:paraId="36B44C16" w14:textId="5E8D0506" w:rsidR="007D65E5" w:rsidRDefault="007D65E5" w:rsidP="007D65E5">
      <w:pPr>
        <w:jc w:val="both"/>
      </w:pPr>
      <w:r>
        <w:t xml:space="preserve">03.05.2025 tarihli ve 32889 sayılı Resmî </w:t>
      </w:r>
      <w:proofErr w:type="spellStart"/>
      <w:r>
        <w:t>Gazete’de</w:t>
      </w:r>
      <w:proofErr w:type="spellEnd"/>
      <w:r>
        <w:t xml:space="preserve"> yayımlanan değişiklikle Tebliğ’e ilave edilen ve 31.07.2025 tarihine kadar geçerli olan geçici 1. madde hükmü, önce 31.10.2025 tarihine kadar, şimdi de 30.04.2026 tarihine kadar uzatılmıştır. Söz konusu geçici 1. maddenin son hali aşağıdaki gibidir:</w:t>
      </w:r>
    </w:p>
    <w:p w14:paraId="09912FC8" w14:textId="3C1726BE" w:rsidR="007D65E5" w:rsidRPr="007D65E5" w:rsidRDefault="007D65E5" w:rsidP="007D65E5">
      <w:pPr>
        <w:shd w:val="clear" w:color="auto" w:fill="F2F2F2" w:themeFill="background1" w:themeFillShade="F2"/>
        <w:jc w:val="both"/>
        <w:rPr>
          <w:i/>
          <w:iCs/>
          <w:sz w:val="20"/>
          <w:szCs w:val="20"/>
        </w:rPr>
      </w:pPr>
      <w:r w:rsidRPr="007D65E5">
        <w:rPr>
          <w:i/>
          <w:iCs/>
          <w:sz w:val="20"/>
          <w:szCs w:val="20"/>
        </w:rPr>
        <w:t>“</w:t>
      </w:r>
      <w:r w:rsidRPr="007D65E5">
        <w:rPr>
          <w:b/>
          <w:bCs/>
          <w:i/>
          <w:iCs/>
          <w:sz w:val="20"/>
          <w:szCs w:val="20"/>
        </w:rPr>
        <w:t>G</w:t>
      </w:r>
      <w:r>
        <w:rPr>
          <w:b/>
          <w:bCs/>
          <w:i/>
          <w:iCs/>
          <w:sz w:val="20"/>
          <w:szCs w:val="20"/>
        </w:rPr>
        <w:t>eçici</w:t>
      </w:r>
      <w:r w:rsidRPr="007D65E5">
        <w:rPr>
          <w:b/>
          <w:bCs/>
          <w:i/>
          <w:iCs/>
          <w:sz w:val="20"/>
          <w:szCs w:val="20"/>
        </w:rPr>
        <w:t xml:space="preserve"> M</w:t>
      </w:r>
      <w:r>
        <w:rPr>
          <w:b/>
          <w:bCs/>
          <w:i/>
          <w:iCs/>
          <w:sz w:val="20"/>
          <w:szCs w:val="20"/>
        </w:rPr>
        <w:t>adde</w:t>
      </w:r>
      <w:r w:rsidRPr="007D65E5">
        <w:rPr>
          <w:b/>
          <w:bCs/>
          <w:i/>
          <w:iCs/>
          <w:sz w:val="20"/>
          <w:szCs w:val="20"/>
        </w:rPr>
        <w:t xml:space="preserve"> 1-</w:t>
      </w:r>
    </w:p>
    <w:p w14:paraId="21E2BAB7" w14:textId="41065A94" w:rsidR="007D65E5" w:rsidRPr="007D65E5" w:rsidRDefault="007D65E5" w:rsidP="007D65E5">
      <w:pPr>
        <w:shd w:val="clear" w:color="auto" w:fill="F2F2F2" w:themeFill="background1" w:themeFillShade="F2"/>
        <w:jc w:val="both"/>
        <w:rPr>
          <w:i/>
          <w:iCs/>
          <w:sz w:val="20"/>
          <w:szCs w:val="20"/>
        </w:rPr>
      </w:pPr>
      <w:r w:rsidRPr="007D65E5">
        <w:rPr>
          <w:i/>
          <w:iCs/>
          <w:sz w:val="20"/>
          <w:szCs w:val="20"/>
        </w:rPr>
        <w:t>(1) Bu Tebliğin 4’üncü maddesinin birinci fıkrasında yüzde 2 olarak belirlenmiş olan döviz dönüşüm desteği oranı bu maddenin yürürlüğe girdiği tarihten </w:t>
      </w:r>
      <w:r w:rsidRPr="007D65E5">
        <w:rPr>
          <w:b/>
          <w:bCs/>
          <w:i/>
          <w:iCs/>
          <w:sz w:val="20"/>
          <w:szCs w:val="20"/>
          <w:u w:val="single"/>
        </w:rPr>
        <w:t>30/04/2026</w:t>
      </w:r>
      <w:r w:rsidRPr="007D65E5">
        <w:rPr>
          <w:i/>
          <w:iCs/>
          <w:sz w:val="20"/>
          <w:szCs w:val="20"/>
        </w:rPr>
        <w:t> tarihine kadar (bu tarih dahil) yüzde 3 olarak uygulanır.”</w:t>
      </w:r>
    </w:p>
    <w:p w14:paraId="0D538CA0" w14:textId="7AD77B0B" w:rsidR="007D65E5" w:rsidRDefault="00AE278C" w:rsidP="007D65E5">
      <w:pPr>
        <w:jc w:val="both"/>
      </w:pPr>
      <w:r>
        <w:t xml:space="preserve">Tebliğin </w:t>
      </w:r>
      <w:r w:rsidR="00CD49F5">
        <w:t xml:space="preserve">atıf yapılan </w:t>
      </w:r>
      <w:r>
        <w:t>4. maddesinin 1. fıkrası hükmü aşağıdaki gibidir:</w:t>
      </w:r>
    </w:p>
    <w:p w14:paraId="79088B2A" w14:textId="0AF9190C" w:rsidR="00AE278C" w:rsidRPr="00AE278C" w:rsidRDefault="00AE278C" w:rsidP="00AE278C">
      <w:pPr>
        <w:shd w:val="clear" w:color="auto" w:fill="F2F2F2" w:themeFill="background1" w:themeFillShade="F2"/>
        <w:jc w:val="both"/>
        <w:rPr>
          <w:i/>
          <w:iCs/>
          <w:sz w:val="20"/>
          <w:szCs w:val="20"/>
        </w:rPr>
      </w:pPr>
      <w:r w:rsidRPr="00AE278C">
        <w:rPr>
          <w:b/>
          <w:bCs/>
          <w:i/>
          <w:iCs/>
          <w:sz w:val="20"/>
          <w:szCs w:val="20"/>
        </w:rPr>
        <w:t>“Yurt dışı kaynaklı dövizlerin Merkez Bankasına satılmasında döviz dönüşüm desteği sağlanması</w:t>
      </w:r>
    </w:p>
    <w:p w14:paraId="57CFC344" w14:textId="240C3042" w:rsidR="00AE278C" w:rsidRDefault="00AE278C" w:rsidP="00AE278C">
      <w:pPr>
        <w:shd w:val="clear" w:color="auto" w:fill="F2F2F2" w:themeFill="background1" w:themeFillShade="F2"/>
        <w:jc w:val="both"/>
        <w:rPr>
          <w:i/>
          <w:iCs/>
          <w:sz w:val="20"/>
          <w:szCs w:val="20"/>
        </w:rPr>
      </w:pPr>
      <w:r w:rsidRPr="00AE278C">
        <w:rPr>
          <w:b/>
          <w:bCs/>
          <w:i/>
          <w:iCs/>
          <w:sz w:val="20"/>
          <w:szCs w:val="20"/>
        </w:rPr>
        <w:t>MADDE 4-</w:t>
      </w:r>
      <w:r w:rsidRPr="00AE278C">
        <w:rPr>
          <w:i/>
          <w:iCs/>
          <w:sz w:val="20"/>
          <w:szCs w:val="20"/>
        </w:rPr>
        <w:t> (1) Firmaların yurt dışı kaynaklı dövizlerinin banka aracılığıyla Merkez Bankasına satışı sırasında, Merkez Bankası</w:t>
      </w:r>
      <w:r>
        <w:rPr>
          <w:i/>
          <w:iCs/>
          <w:sz w:val="20"/>
          <w:szCs w:val="20"/>
        </w:rPr>
        <w:t>’</w:t>
      </w:r>
      <w:r w:rsidRPr="00AE278C">
        <w:rPr>
          <w:i/>
          <w:iCs/>
          <w:sz w:val="20"/>
          <w:szCs w:val="20"/>
        </w:rPr>
        <w:t>nca belirlenecek süre boyunca döviz alımı yapmama taahhüdünde bulunulması şartıyla, taahhüt sahibi firmalara dönüşüm kuru üzerinden Türk lirasına çevrilen tutarın yüzde 2’si kadar döviz dönüşüm desteği ödenir...”</w:t>
      </w:r>
    </w:p>
    <w:p w14:paraId="6AC725AA" w14:textId="77777777" w:rsidR="00CD49F5" w:rsidRPr="00AE278C" w:rsidRDefault="00CD49F5" w:rsidP="00CD49F5">
      <w:pPr>
        <w:shd w:val="clear" w:color="auto" w:fill="FFFFFF" w:themeFill="background1"/>
        <w:jc w:val="both"/>
      </w:pPr>
    </w:p>
    <w:p w14:paraId="24F9D712" w14:textId="7BFADC14" w:rsidR="00AE278C" w:rsidRPr="00280E94" w:rsidRDefault="00AE278C" w:rsidP="00280E94">
      <w:pPr>
        <w:jc w:val="right"/>
        <w:rPr>
          <w:b/>
          <w:bCs/>
        </w:rPr>
      </w:pPr>
    </w:p>
    <w:p w14:paraId="5D0A005B" w14:textId="1221B4A8" w:rsidR="007D65E5" w:rsidRPr="007D65E5" w:rsidRDefault="007D65E5" w:rsidP="007D65E5">
      <w:pPr>
        <w:jc w:val="both"/>
      </w:pPr>
    </w:p>
    <w:p w14:paraId="52B84DCB" w14:textId="77777777" w:rsidR="007D65E5" w:rsidRPr="007D65E5" w:rsidRDefault="007D65E5" w:rsidP="007D65E5">
      <w:pPr>
        <w:jc w:val="both"/>
      </w:pPr>
    </w:p>
    <w:p w14:paraId="0199CBE7" w14:textId="4BE3DCA4" w:rsidR="007D65E5" w:rsidRDefault="007D65E5" w:rsidP="00E153E9">
      <w:pPr>
        <w:jc w:val="both"/>
      </w:pPr>
    </w:p>
    <w:sectPr w:rsidR="007D65E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2272" w14:textId="77777777" w:rsidR="00711502" w:rsidRDefault="00711502" w:rsidP="002964ED">
      <w:pPr>
        <w:spacing w:after="0" w:line="240" w:lineRule="auto"/>
      </w:pPr>
      <w:r>
        <w:separator/>
      </w:r>
    </w:p>
  </w:endnote>
  <w:endnote w:type="continuationSeparator" w:id="0">
    <w:p w14:paraId="5D8EDE7C" w14:textId="77777777" w:rsidR="00711502" w:rsidRDefault="00711502" w:rsidP="0029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B63F" w14:textId="77777777" w:rsidR="00BB2DB3" w:rsidRDefault="00BB2D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953328"/>
      <w:docPartObj>
        <w:docPartGallery w:val="Page Numbers (Bottom of Page)"/>
        <w:docPartUnique/>
      </w:docPartObj>
    </w:sdtPr>
    <w:sdtEndPr/>
    <w:sdtContent>
      <w:p w14:paraId="59D37DAA" w14:textId="186FABF6" w:rsidR="002964ED" w:rsidRDefault="002964ED">
        <w:pPr>
          <w:pStyle w:val="AltBilgi"/>
          <w:jc w:val="right"/>
        </w:pPr>
        <w:r>
          <w:fldChar w:fldCharType="begin"/>
        </w:r>
        <w:r>
          <w:instrText>PAGE   \* MERGEFORMAT</w:instrText>
        </w:r>
        <w:r>
          <w:fldChar w:fldCharType="separate"/>
        </w:r>
        <w:r>
          <w:t>2</w:t>
        </w:r>
        <w:r>
          <w:fldChar w:fldCharType="end"/>
        </w:r>
      </w:p>
    </w:sdtContent>
  </w:sdt>
  <w:p w14:paraId="7BEB3653" w14:textId="77777777" w:rsidR="002964ED" w:rsidRDefault="002964E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C8D9" w14:textId="77777777" w:rsidR="00BB2DB3" w:rsidRDefault="00BB2D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CDE7" w14:textId="77777777" w:rsidR="00711502" w:rsidRDefault="00711502" w:rsidP="002964ED">
      <w:pPr>
        <w:spacing w:after="0" w:line="240" w:lineRule="auto"/>
      </w:pPr>
      <w:r>
        <w:separator/>
      </w:r>
    </w:p>
  </w:footnote>
  <w:footnote w:type="continuationSeparator" w:id="0">
    <w:p w14:paraId="663AD0BA" w14:textId="77777777" w:rsidR="00711502" w:rsidRDefault="00711502" w:rsidP="0029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27E2" w14:textId="77777777" w:rsidR="00BB2DB3" w:rsidRDefault="00BB2DB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2AA803F0" w14:textId="28275C07" w:rsidR="00BB2DB3" w:rsidRDefault="00BB2DB3">
    <w:pPr>
      <w:pStyle w:val="stBilgi"/>
    </w:pPr>
    <w:r w:rsidRPr="00F22779">
      <w:rPr>
        <w:b/>
        <w:bCs/>
      </w:rPr>
      <w:object w:dxaOrig="9072" w:dyaOrig="1927" w14:anchorId="473A7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4553283"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62AB" w14:textId="77777777" w:rsidR="00BB2DB3" w:rsidRDefault="00BB2DB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9"/>
    <w:rsid w:val="001F4C34"/>
    <w:rsid w:val="00280E94"/>
    <w:rsid w:val="002964ED"/>
    <w:rsid w:val="002A5ECB"/>
    <w:rsid w:val="002B7E8D"/>
    <w:rsid w:val="00392C81"/>
    <w:rsid w:val="003C38EA"/>
    <w:rsid w:val="004027F6"/>
    <w:rsid w:val="00515721"/>
    <w:rsid w:val="005E0FF4"/>
    <w:rsid w:val="00620D63"/>
    <w:rsid w:val="006B5D45"/>
    <w:rsid w:val="00711502"/>
    <w:rsid w:val="00784A3F"/>
    <w:rsid w:val="00785F6A"/>
    <w:rsid w:val="00794D3A"/>
    <w:rsid w:val="007D65E5"/>
    <w:rsid w:val="00891FD8"/>
    <w:rsid w:val="009B6807"/>
    <w:rsid w:val="00A67EE3"/>
    <w:rsid w:val="00AB09EF"/>
    <w:rsid w:val="00AE278C"/>
    <w:rsid w:val="00BA04B6"/>
    <w:rsid w:val="00BB2DB3"/>
    <w:rsid w:val="00C23507"/>
    <w:rsid w:val="00C87EFD"/>
    <w:rsid w:val="00CD49F5"/>
    <w:rsid w:val="00CE05EA"/>
    <w:rsid w:val="00E153E9"/>
    <w:rsid w:val="00E70812"/>
    <w:rsid w:val="00F57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05FA"/>
  <w15:chartTrackingRefBased/>
  <w15:docId w15:val="{EF203C74-34FF-4D90-96AE-17AA4EFB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E9"/>
  </w:style>
  <w:style w:type="paragraph" w:styleId="Balk1">
    <w:name w:val="heading 1"/>
    <w:basedOn w:val="Normal"/>
    <w:next w:val="Normal"/>
    <w:link w:val="Balk1Char"/>
    <w:uiPriority w:val="9"/>
    <w:qFormat/>
    <w:rsid w:val="00E15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15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153E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153E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153E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153E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153E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153E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153E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53E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153E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153E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153E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153E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153E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153E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153E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153E9"/>
    <w:rPr>
      <w:rFonts w:eastAsiaTheme="majorEastAsia" w:cstheme="majorBidi"/>
      <w:color w:val="272727" w:themeColor="text1" w:themeTint="D8"/>
    </w:rPr>
  </w:style>
  <w:style w:type="paragraph" w:styleId="KonuBal">
    <w:name w:val="Title"/>
    <w:basedOn w:val="Normal"/>
    <w:next w:val="Normal"/>
    <w:link w:val="KonuBalChar"/>
    <w:uiPriority w:val="10"/>
    <w:qFormat/>
    <w:rsid w:val="00E1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53E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153E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153E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153E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153E9"/>
    <w:rPr>
      <w:i/>
      <w:iCs/>
      <w:color w:val="404040" w:themeColor="text1" w:themeTint="BF"/>
    </w:rPr>
  </w:style>
  <w:style w:type="paragraph" w:styleId="ListeParagraf">
    <w:name w:val="List Paragraph"/>
    <w:basedOn w:val="Normal"/>
    <w:uiPriority w:val="34"/>
    <w:qFormat/>
    <w:rsid w:val="00E153E9"/>
    <w:pPr>
      <w:ind w:left="720"/>
      <w:contextualSpacing/>
    </w:pPr>
  </w:style>
  <w:style w:type="character" w:styleId="GlVurgulama">
    <w:name w:val="Intense Emphasis"/>
    <w:basedOn w:val="VarsaylanParagrafYazTipi"/>
    <w:uiPriority w:val="21"/>
    <w:qFormat/>
    <w:rsid w:val="00E153E9"/>
    <w:rPr>
      <w:i/>
      <w:iCs/>
      <w:color w:val="2F5496" w:themeColor="accent1" w:themeShade="BF"/>
    </w:rPr>
  </w:style>
  <w:style w:type="paragraph" w:styleId="GlAlnt">
    <w:name w:val="Intense Quote"/>
    <w:basedOn w:val="Normal"/>
    <w:next w:val="Normal"/>
    <w:link w:val="GlAlntChar"/>
    <w:uiPriority w:val="30"/>
    <w:qFormat/>
    <w:rsid w:val="00E15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153E9"/>
    <w:rPr>
      <w:i/>
      <w:iCs/>
      <w:color w:val="2F5496" w:themeColor="accent1" w:themeShade="BF"/>
    </w:rPr>
  </w:style>
  <w:style w:type="character" w:styleId="GlBavuru">
    <w:name w:val="Intense Reference"/>
    <w:basedOn w:val="VarsaylanParagrafYazTipi"/>
    <w:uiPriority w:val="32"/>
    <w:qFormat/>
    <w:rsid w:val="00E153E9"/>
    <w:rPr>
      <w:b/>
      <w:bCs/>
      <w:smallCaps/>
      <w:color w:val="2F5496" w:themeColor="accent1" w:themeShade="BF"/>
      <w:spacing w:val="5"/>
    </w:rPr>
  </w:style>
  <w:style w:type="paragraph" w:styleId="stBilgi">
    <w:name w:val="header"/>
    <w:basedOn w:val="Normal"/>
    <w:link w:val="stBilgiChar"/>
    <w:uiPriority w:val="99"/>
    <w:unhideWhenUsed/>
    <w:rsid w:val="00E153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53E9"/>
  </w:style>
  <w:style w:type="character" w:styleId="Kpr">
    <w:name w:val="Hyperlink"/>
    <w:basedOn w:val="VarsaylanParagrafYazTipi"/>
    <w:uiPriority w:val="99"/>
    <w:unhideWhenUsed/>
    <w:rsid w:val="00E153E9"/>
    <w:rPr>
      <w:color w:val="0563C1" w:themeColor="hyperlink"/>
      <w:u w:val="single"/>
    </w:rPr>
  </w:style>
  <w:style w:type="paragraph" w:styleId="AltBilgi">
    <w:name w:val="footer"/>
    <w:basedOn w:val="Normal"/>
    <w:link w:val="AltBilgiChar"/>
    <w:uiPriority w:val="99"/>
    <w:unhideWhenUsed/>
    <w:rsid w:val="002964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431</Words>
  <Characters>3060</Characters>
  <Application>Microsoft Office Word</Application>
  <DocSecurity>0</DocSecurity>
  <Lines>54</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17</cp:revision>
  <dcterms:created xsi:type="dcterms:W3CDTF">2025-10-30T08:55:00Z</dcterms:created>
  <dcterms:modified xsi:type="dcterms:W3CDTF">2025-11-13T12:35:00Z</dcterms:modified>
</cp:coreProperties>
</file>