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395F8" w14:textId="19F00279" w:rsidR="0091412D" w:rsidRPr="0091412D" w:rsidRDefault="0091412D" w:rsidP="0091412D">
      <w:pPr>
        <w:pStyle w:val="stBilgi"/>
        <w:jc w:val="center"/>
        <w:rPr>
          <w:b/>
          <w:bCs/>
          <w:sz w:val="32"/>
          <w:szCs w:val="32"/>
        </w:rPr>
      </w:pPr>
      <w:r w:rsidRPr="0091412D">
        <w:rPr>
          <w:b/>
          <w:bCs/>
          <w:sz w:val="32"/>
          <w:szCs w:val="32"/>
        </w:rPr>
        <w:t>VERGİ MEVZUATINDAKİ GELİŞMELER 2025/EYLÜL-</w:t>
      </w:r>
      <w:r>
        <w:rPr>
          <w:b/>
          <w:bCs/>
          <w:sz w:val="32"/>
          <w:szCs w:val="32"/>
        </w:rPr>
        <w:t>2</w:t>
      </w:r>
    </w:p>
    <w:p w14:paraId="1ECB965B" w14:textId="674A89F5" w:rsidR="003F5B40" w:rsidRDefault="003F5B40" w:rsidP="003F5B40">
      <w:pPr>
        <w:pStyle w:val="stBilgi"/>
        <w:jc w:val="center"/>
        <w:rPr>
          <w:b/>
          <w:bCs/>
        </w:rPr>
      </w:pPr>
      <w:r w:rsidRPr="00D32217">
        <w:rPr>
          <w:b/>
          <w:bCs/>
        </w:rPr>
        <w:t>(</w:t>
      </w:r>
      <w:r>
        <w:rPr>
          <w:b/>
          <w:bCs/>
        </w:rPr>
        <w:t>06.09.2025</w:t>
      </w:r>
      <w:r w:rsidR="00607EF1">
        <w:rPr>
          <w:b/>
          <w:bCs/>
        </w:rPr>
        <w:t>-07.09.2025</w:t>
      </w:r>
      <w:r w:rsidRPr="00D32217">
        <w:rPr>
          <w:b/>
          <w:bCs/>
        </w:rPr>
        <w:t>)</w:t>
      </w:r>
    </w:p>
    <w:p w14:paraId="7A8C3F88" w14:textId="77777777" w:rsidR="00C23507" w:rsidRDefault="00C23507"/>
    <w:p w14:paraId="1BA0347B" w14:textId="1DBD7837" w:rsidR="003F5B40" w:rsidRPr="003F5B40" w:rsidRDefault="003F5B40">
      <w:pPr>
        <w:rPr>
          <w:b/>
          <w:bCs/>
          <w:sz w:val="26"/>
          <w:szCs w:val="26"/>
        </w:rPr>
      </w:pPr>
      <w:r w:rsidRPr="003F5B40">
        <w:rPr>
          <w:b/>
          <w:bCs/>
          <w:sz w:val="26"/>
          <w:szCs w:val="26"/>
        </w:rPr>
        <w:t>I- BEYANNAMELERİN DAMGA VERGİSİ TUTARI ARTIRILMIŞTIR</w:t>
      </w:r>
    </w:p>
    <w:p w14:paraId="57AC63CA" w14:textId="6DB72DDC" w:rsidR="003F5B40" w:rsidRDefault="003F5B40" w:rsidP="003F5B40">
      <w:pPr>
        <w:jc w:val="both"/>
      </w:pPr>
      <w:r>
        <w:t xml:space="preserve">06 Eylül 2025 tarihli ve 33009 sayılı Resmi Gazete’de yayımlanan 10364 sayılı Cumhurbaşkanı Kararı ile </w:t>
      </w:r>
      <w:r w:rsidRPr="003F5B40">
        <w:t>Damga Vergisi Kanunu</w:t>
      </w:r>
      <w:r>
        <w:t>’</w:t>
      </w:r>
      <w:r w:rsidRPr="003F5B40">
        <w:t>na ekli (1) sayılı tabloda yer alan bazı kâğıtlara ait maktu vergi tutarlarının yeniden belirlenmesi hakkındaki Karar</w:t>
      </w:r>
      <w:r>
        <w:t xml:space="preserve"> </w:t>
      </w:r>
      <w:r w:rsidRPr="003F5B40">
        <w:t>yürürlüğe konulm</w:t>
      </w:r>
      <w:r>
        <w:t>uştur. Söz konusu Karar yayımı tarihini izleyen aybaşından, yani 01.10.2025 tarihinden itibaren yürürlüğe girecektir.</w:t>
      </w:r>
    </w:p>
    <w:p w14:paraId="3E141F11" w14:textId="51638A87" w:rsidR="003F5B40" w:rsidRDefault="003F5B40" w:rsidP="003F5B40">
      <w:pPr>
        <w:jc w:val="both"/>
      </w:pPr>
      <w:r w:rsidRPr="003F5B40">
        <w:t>Söz konusu Karar ile</w:t>
      </w:r>
      <w:r>
        <w:rPr>
          <w:b/>
          <w:bCs/>
        </w:rPr>
        <w:t xml:space="preserve"> </w:t>
      </w:r>
      <w:hyperlink r:id="rId6" w:history="1">
        <w:r w:rsidRPr="003F5B40">
          <w:rPr>
            <w:rStyle w:val="Kpr"/>
            <w:color w:val="auto"/>
            <w:u w:val="none"/>
          </w:rPr>
          <w:t>Damga Vergisi Kanunu</w:t>
        </w:r>
        <w:r>
          <w:rPr>
            <w:rStyle w:val="Kpr"/>
            <w:color w:val="auto"/>
            <w:u w:val="none"/>
          </w:rPr>
          <w:t>’</w:t>
        </w:r>
        <w:r w:rsidRPr="003F5B40">
          <w:rPr>
            <w:rStyle w:val="Kpr"/>
            <w:color w:val="auto"/>
            <w:u w:val="none"/>
          </w:rPr>
          <w:t>na</w:t>
        </w:r>
      </w:hyperlink>
      <w:r w:rsidRPr="003F5B40">
        <w:t> ekli (1) sayılı tablonun “IV.Makbuzlar ve diğer kâğıtlar” başlıklı bölümünün “2. Beyannameler (Bu beyannamelerin sadece bir nüshası vergiye tâbidir):” fıkrasında yer alan maktu vergi tutarları aşağıdaki şekilde belirlenmiştir.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65"/>
        <w:gridCol w:w="1497"/>
      </w:tblGrid>
      <w:tr w:rsidR="003F5B40" w:rsidRPr="003F5B40" w14:paraId="08E5373C" w14:textId="77777777" w:rsidTr="00C947EF">
        <w:tc>
          <w:tcPr>
            <w:tcW w:w="4174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9E24333" w14:textId="77777777" w:rsidR="003F5B40" w:rsidRPr="003F5B40" w:rsidRDefault="003F5B40" w:rsidP="003F5B40">
            <w:pPr>
              <w:rPr>
                <w:sz w:val="20"/>
                <w:szCs w:val="20"/>
              </w:rPr>
            </w:pPr>
            <w:r w:rsidRPr="003F5B40">
              <w:rPr>
                <w:sz w:val="20"/>
                <w:szCs w:val="20"/>
              </w:rPr>
              <w:t>a) Yabancı memleketlerden gelen posta gönderilerinin gümrüklenmesi için postanelerce gümrüklere verilen liste beyannamelerde yazılı her gönderi maddesi için</w:t>
            </w:r>
          </w:p>
        </w:tc>
        <w:tc>
          <w:tcPr>
            <w:tcW w:w="826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838DF8F" w14:textId="77777777" w:rsidR="003F5B40" w:rsidRPr="003F5B40" w:rsidRDefault="003F5B40" w:rsidP="003F5B40">
            <w:pPr>
              <w:rPr>
                <w:sz w:val="20"/>
                <w:szCs w:val="20"/>
              </w:rPr>
            </w:pPr>
            <w:r w:rsidRPr="003F5B40">
              <w:rPr>
                <w:sz w:val="20"/>
                <w:szCs w:val="20"/>
              </w:rPr>
              <w:t>(7,00 TL)</w:t>
            </w:r>
          </w:p>
        </w:tc>
      </w:tr>
      <w:tr w:rsidR="003F5B40" w:rsidRPr="003F5B40" w14:paraId="64C5BC9F" w14:textId="77777777" w:rsidTr="00C947EF">
        <w:tc>
          <w:tcPr>
            <w:tcW w:w="4174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C84BACF" w14:textId="77777777" w:rsidR="003F5B40" w:rsidRPr="003F5B40" w:rsidRDefault="003F5B40" w:rsidP="003F5B40">
            <w:pPr>
              <w:rPr>
                <w:sz w:val="20"/>
                <w:szCs w:val="20"/>
              </w:rPr>
            </w:pPr>
            <w:r w:rsidRPr="003F5B40">
              <w:rPr>
                <w:sz w:val="20"/>
                <w:szCs w:val="20"/>
              </w:rPr>
              <w:t>b) Vergi beyannameleri: ((f) bendi dâhil olmak üzere, beyanname verme süresi içerisinde düzeltme amacıyla verilen beyannameler hariç)</w:t>
            </w:r>
          </w:p>
        </w:tc>
        <w:tc>
          <w:tcPr>
            <w:tcW w:w="826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AFF7203" w14:textId="77777777" w:rsidR="003F5B40" w:rsidRPr="003F5B40" w:rsidRDefault="003F5B40" w:rsidP="003F5B40">
            <w:pPr>
              <w:rPr>
                <w:sz w:val="20"/>
                <w:szCs w:val="20"/>
              </w:rPr>
            </w:pPr>
            <w:r w:rsidRPr="003F5B40">
              <w:rPr>
                <w:sz w:val="20"/>
                <w:szCs w:val="20"/>
              </w:rPr>
              <w:t> </w:t>
            </w:r>
          </w:p>
        </w:tc>
      </w:tr>
      <w:tr w:rsidR="003F5B40" w:rsidRPr="003F5B40" w14:paraId="1C0BF78D" w14:textId="77777777" w:rsidTr="00C947EF">
        <w:tc>
          <w:tcPr>
            <w:tcW w:w="4174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0E21062" w14:textId="77777777" w:rsidR="003F5B40" w:rsidRPr="003F5B40" w:rsidRDefault="003F5B40" w:rsidP="003F5B40">
            <w:pPr>
              <w:rPr>
                <w:sz w:val="20"/>
                <w:szCs w:val="20"/>
              </w:rPr>
            </w:pPr>
            <w:r w:rsidRPr="003F5B40">
              <w:rPr>
                <w:sz w:val="20"/>
                <w:szCs w:val="20"/>
              </w:rPr>
              <w:t>ba) Yıllık gelir vergisi beyannameleri</w:t>
            </w:r>
          </w:p>
        </w:tc>
        <w:tc>
          <w:tcPr>
            <w:tcW w:w="826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B9B334D" w14:textId="77777777" w:rsidR="003F5B40" w:rsidRPr="003F5B40" w:rsidRDefault="003F5B40" w:rsidP="003F5B40">
            <w:pPr>
              <w:rPr>
                <w:sz w:val="20"/>
                <w:szCs w:val="20"/>
              </w:rPr>
            </w:pPr>
            <w:r w:rsidRPr="003F5B40">
              <w:rPr>
                <w:sz w:val="20"/>
                <w:szCs w:val="20"/>
              </w:rPr>
              <w:t>(1.000,00 TL)</w:t>
            </w:r>
          </w:p>
        </w:tc>
      </w:tr>
      <w:tr w:rsidR="003F5B40" w:rsidRPr="003F5B40" w14:paraId="2BF89422" w14:textId="77777777" w:rsidTr="00C947EF">
        <w:tc>
          <w:tcPr>
            <w:tcW w:w="4174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224A941" w14:textId="77777777" w:rsidR="003F5B40" w:rsidRPr="003F5B40" w:rsidRDefault="003F5B40" w:rsidP="003F5B40">
            <w:pPr>
              <w:rPr>
                <w:sz w:val="20"/>
                <w:szCs w:val="20"/>
              </w:rPr>
            </w:pPr>
            <w:r w:rsidRPr="003F5B40">
              <w:rPr>
                <w:sz w:val="20"/>
                <w:szCs w:val="20"/>
              </w:rPr>
              <w:t>bb) Kurumlar vergisi beyannameleri</w:t>
            </w:r>
          </w:p>
        </w:tc>
        <w:tc>
          <w:tcPr>
            <w:tcW w:w="826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37DCB9A" w14:textId="77777777" w:rsidR="003F5B40" w:rsidRPr="003F5B40" w:rsidRDefault="003F5B40" w:rsidP="003F5B40">
            <w:pPr>
              <w:rPr>
                <w:sz w:val="20"/>
                <w:szCs w:val="20"/>
              </w:rPr>
            </w:pPr>
            <w:r w:rsidRPr="003F5B40">
              <w:rPr>
                <w:sz w:val="20"/>
                <w:szCs w:val="20"/>
              </w:rPr>
              <w:t>(1.350,00 TL)</w:t>
            </w:r>
          </w:p>
        </w:tc>
      </w:tr>
      <w:tr w:rsidR="003F5B40" w:rsidRPr="003F5B40" w14:paraId="119D90D2" w14:textId="77777777" w:rsidTr="00C947EF">
        <w:tc>
          <w:tcPr>
            <w:tcW w:w="4174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A57B73D" w14:textId="77777777" w:rsidR="003F5B40" w:rsidRPr="003F5B40" w:rsidRDefault="003F5B40" w:rsidP="003F5B40">
            <w:pPr>
              <w:rPr>
                <w:sz w:val="20"/>
                <w:szCs w:val="20"/>
              </w:rPr>
            </w:pPr>
            <w:r w:rsidRPr="003F5B40">
              <w:rPr>
                <w:sz w:val="20"/>
                <w:szCs w:val="20"/>
              </w:rPr>
              <w:t>be) Katma değer vergisi beyannameleri</w:t>
            </w:r>
          </w:p>
        </w:tc>
        <w:tc>
          <w:tcPr>
            <w:tcW w:w="826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21D85AA" w14:textId="77777777" w:rsidR="003F5B40" w:rsidRPr="003F5B40" w:rsidRDefault="003F5B40" w:rsidP="003F5B40">
            <w:pPr>
              <w:rPr>
                <w:sz w:val="20"/>
                <w:szCs w:val="20"/>
              </w:rPr>
            </w:pPr>
            <w:r w:rsidRPr="003F5B40">
              <w:rPr>
                <w:sz w:val="20"/>
                <w:szCs w:val="20"/>
              </w:rPr>
              <w:t>(665.00 TL)</w:t>
            </w:r>
          </w:p>
        </w:tc>
      </w:tr>
      <w:tr w:rsidR="003F5B40" w:rsidRPr="003F5B40" w14:paraId="4641450F" w14:textId="77777777" w:rsidTr="00C947EF">
        <w:tc>
          <w:tcPr>
            <w:tcW w:w="4174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4C97565" w14:textId="77777777" w:rsidR="003F5B40" w:rsidRPr="003F5B40" w:rsidRDefault="003F5B40" w:rsidP="003F5B40">
            <w:pPr>
              <w:rPr>
                <w:sz w:val="20"/>
                <w:szCs w:val="20"/>
              </w:rPr>
            </w:pPr>
            <w:r w:rsidRPr="003F5B40">
              <w:rPr>
                <w:sz w:val="20"/>
                <w:szCs w:val="20"/>
              </w:rPr>
              <w:t>bd) Muhtasar beyannameler</w:t>
            </w:r>
          </w:p>
        </w:tc>
        <w:tc>
          <w:tcPr>
            <w:tcW w:w="826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FA98ADF" w14:textId="77777777" w:rsidR="003F5B40" w:rsidRPr="003F5B40" w:rsidRDefault="003F5B40" w:rsidP="003F5B40">
            <w:pPr>
              <w:rPr>
                <w:sz w:val="20"/>
                <w:szCs w:val="20"/>
              </w:rPr>
            </w:pPr>
            <w:r w:rsidRPr="003F5B40">
              <w:rPr>
                <w:sz w:val="20"/>
                <w:szCs w:val="20"/>
              </w:rPr>
              <w:t>(665,00 TL)</w:t>
            </w:r>
          </w:p>
        </w:tc>
      </w:tr>
      <w:tr w:rsidR="003F5B40" w:rsidRPr="003F5B40" w14:paraId="7C0B4268" w14:textId="77777777" w:rsidTr="00C947EF">
        <w:tc>
          <w:tcPr>
            <w:tcW w:w="4174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1032531" w14:textId="77777777" w:rsidR="003F5B40" w:rsidRPr="003F5B40" w:rsidRDefault="003F5B40" w:rsidP="003F5B40">
            <w:pPr>
              <w:rPr>
                <w:sz w:val="20"/>
                <w:szCs w:val="20"/>
              </w:rPr>
            </w:pPr>
            <w:r w:rsidRPr="003F5B40">
              <w:rPr>
                <w:sz w:val="20"/>
                <w:szCs w:val="20"/>
              </w:rPr>
              <w:t>be) Diğer vergi beyannameleri (damga vergisi beyannameleri hariç)</w:t>
            </w:r>
          </w:p>
        </w:tc>
        <w:tc>
          <w:tcPr>
            <w:tcW w:w="826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0B6B35A" w14:textId="77777777" w:rsidR="003F5B40" w:rsidRPr="003F5B40" w:rsidRDefault="003F5B40" w:rsidP="003F5B40">
            <w:pPr>
              <w:rPr>
                <w:sz w:val="20"/>
                <w:szCs w:val="20"/>
              </w:rPr>
            </w:pPr>
            <w:r w:rsidRPr="003F5B40">
              <w:rPr>
                <w:sz w:val="20"/>
                <w:szCs w:val="20"/>
              </w:rPr>
              <w:t>(665,00 TL)</w:t>
            </w:r>
          </w:p>
        </w:tc>
      </w:tr>
      <w:tr w:rsidR="003F5B40" w:rsidRPr="003F5B40" w14:paraId="7F3559F4" w14:textId="77777777" w:rsidTr="00C947EF">
        <w:tc>
          <w:tcPr>
            <w:tcW w:w="4174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6FF9142" w14:textId="77777777" w:rsidR="003F5B40" w:rsidRPr="003F5B40" w:rsidRDefault="003F5B40" w:rsidP="003F5B40">
            <w:pPr>
              <w:rPr>
                <w:sz w:val="20"/>
                <w:szCs w:val="20"/>
              </w:rPr>
            </w:pPr>
            <w:r w:rsidRPr="003F5B40">
              <w:rPr>
                <w:sz w:val="20"/>
                <w:szCs w:val="20"/>
              </w:rPr>
              <w:t>c) Gümrük idarelerine verilen beyannameler</w:t>
            </w:r>
          </w:p>
        </w:tc>
        <w:tc>
          <w:tcPr>
            <w:tcW w:w="826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5747190" w14:textId="77777777" w:rsidR="003F5B40" w:rsidRPr="003F5B40" w:rsidRDefault="003F5B40" w:rsidP="003F5B40">
            <w:pPr>
              <w:rPr>
                <w:sz w:val="20"/>
                <w:szCs w:val="20"/>
              </w:rPr>
            </w:pPr>
            <w:r w:rsidRPr="003F5B40">
              <w:rPr>
                <w:sz w:val="20"/>
                <w:szCs w:val="20"/>
              </w:rPr>
              <w:t>(1.350,00 TL)</w:t>
            </w:r>
          </w:p>
        </w:tc>
      </w:tr>
      <w:tr w:rsidR="003F5B40" w:rsidRPr="003F5B40" w14:paraId="3A883168" w14:textId="77777777" w:rsidTr="00C947EF">
        <w:tc>
          <w:tcPr>
            <w:tcW w:w="4174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CC8F222" w14:textId="77777777" w:rsidR="003F5B40" w:rsidRPr="003F5B40" w:rsidRDefault="003F5B40" w:rsidP="003F5B40">
            <w:pPr>
              <w:rPr>
                <w:sz w:val="20"/>
                <w:szCs w:val="20"/>
              </w:rPr>
            </w:pPr>
            <w:r w:rsidRPr="003F5B40">
              <w:rPr>
                <w:sz w:val="20"/>
                <w:szCs w:val="20"/>
              </w:rPr>
              <w:t>d) Belediye ve il özel idarelerine verilen beyannameler</w:t>
            </w:r>
          </w:p>
        </w:tc>
        <w:tc>
          <w:tcPr>
            <w:tcW w:w="826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3FDCC03" w14:textId="77777777" w:rsidR="003F5B40" w:rsidRPr="003F5B40" w:rsidRDefault="003F5B40" w:rsidP="003F5B40">
            <w:pPr>
              <w:rPr>
                <w:sz w:val="20"/>
                <w:szCs w:val="20"/>
              </w:rPr>
            </w:pPr>
            <w:r w:rsidRPr="003F5B40">
              <w:rPr>
                <w:sz w:val="20"/>
                <w:szCs w:val="20"/>
              </w:rPr>
              <w:t>(495,00 TL)</w:t>
            </w:r>
          </w:p>
        </w:tc>
      </w:tr>
      <w:tr w:rsidR="003F5B40" w:rsidRPr="003F5B40" w14:paraId="25171200" w14:textId="77777777" w:rsidTr="00C947EF">
        <w:tc>
          <w:tcPr>
            <w:tcW w:w="4174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5DC43F7" w14:textId="77777777" w:rsidR="003F5B40" w:rsidRPr="003F5B40" w:rsidRDefault="003F5B40" w:rsidP="003F5B40">
            <w:pPr>
              <w:rPr>
                <w:sz w:val="20"/>
                <w:szCs w:val="20"/>
              </w:rPr>
            </w:pPr>
            <w:r w:rsidRPr="003F5B40">
              <w:rPr>
                <w:sz w:val="20"/>
                <w:szCs w:val="20"/>
              </w:rPr>
              <w:t>e) Sosyal güvenlik kuramlarına verilen sigorta prim bildirgeleri</w:t>
            </w:r>
          </w:p>
        </w:tc>
        <w:tc>
          <w:tcPr>
            <w:tcW w:w="826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E2824C3" w14:textId="77777777" w:rsidR="003F5B40" w:rsidRPr="003F5B40" w:rsidRDefault="003F5B40" w:rsidP="003F5B40">
            <w:pPr>
              <w:rPr>
                <w:sz w:val="20"/>
                <w:szCs w:val="20"/>
              </w:rPr>
            </w:pPr>
            <w:r w:rsidRPr="003F5B40">
              <w:rPr>
                <w:sz w:val="20"/>
                <w:szCs w:val="20"/>
              </w:rPr>
              <w:t>(495,00 TL)</w:t>
            </w:r>
          </w:p>
        </w:tc>
      </w:tr>
      <w:tr w:rsidR="003F5B40" w:rsidRPr="003F5B40" w14:paraId="20FC750A" w14:textId="77777777" w:rsidTr="00C947EF">
        <w:tc>
          <w:tcPr>
            <w:tcW w:w="4174" w:type="pct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11A5695" w14:textId="77777777" w:rsidR="003F5B40" w:rsidRPr="003F5B40" w:rsidRDefault="003F5B40" w:rsidP="003F5B40">
            <w:pPr>
              <w:rPr>
                <w:sz w:val="20"/>
                <w:szCs w:val="20"/>
              </w:rPr>
            </w:pPr>
            <w:r w:rsidRPr="003F5B40">
              <w:rPr>
                <w:sz w:val="20"/>
                <w:szCs w:val="20"/>
              </w:rPr>
              <w:lastRenderedPageBreak/>
              <w:t>f) 31/5/2006 tarihli ve 5510 sayılı Sosyal Sigortalar ve Genel Sağlık Sigortası Kanunu uyarınca verilmesi gereken aylık prim ve hizmet belgesi ile muhtasar beyannamenin birleştirilerek verilmesiyle oluşturulan beyannameler</w:t>
            </w:r>
          </w:p>
        </w:tc>
        <w:tc>
          <w:tcPr>
            <w:tcW w:w="826" w:type="pct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A7837AA" w14:textId="77777777" w:rsidR="003F5B40" w:rsidRPr="003F5B40" w:rsidRDefault="003F5B40" w:rsidP="003F5B40">
            <w:pPr>
              <w:rPr>
                <w:sz w:val="20"/>
                <w:szCs w:val="20"/>
              </w:rPr>
            </w:pPr>
            <w:r w:rsidRPr="003F5B40">
              <w:rPr>
                <w:sz w:val="20"/>
                <w:szCs w:val="20"/>
              </w:rPr>
              <w:t>(790,00 TL)</w:t>
            </w:r>
          </w:p>
        </w:tc>
      </w:tr>
    </w:tbl>
    <w:p w14:paraId="582629F1" w14:textId="77777777" w:rsidR="001B6A47" w:rsidRDefault="001B6A47">
      <w:pPr>
        <w:rPr>
          <w:b/>
          <w:bCs/>
          <w:sz w:val="26"/>
          <w:szCs w:val="26"/>
        </w:rPr>
      </w:pPr>
    </w:p>
    <w:p w14:paraId="3CEF95CA" w14:textId="77777777" w:rsidR="001B6A47" w:rsidRDefault="001B6A47">
      <w:pPr>
        <w:rPr>
          <w:b/>
          <w:bCs/>
          <w:sz w:val="26"/>
          <w:szCs w:val="26"/>
        </w:rPr>
      </w:pPr>
    </w:p>
    <w:p w14:paraId="5AC4439E" w14:textId="4B23F15F" w:rsidR="003F5B40" w:rsidRPr="006C729C" w:rsidRDefault="006C729C">
      <w:pPr>
        <w:rPr>
          <w:b/>
          <w:bCs/>
          <w:sz w:val="26"/>
          <w:szCs w:val="26"/>
        </w:rPr>
      </w:pPr>
      <w:r w:rsidRPr="006C729C">
        <w:rPr>
          <w:b/>
          <w:bCs/>
          <w:sz w:val="26"/>
          <w:szCs w:val="26"/>
        </w:rPr>
        <w:t>II- BAZI HARÇ TUTARLARI ARTIRILMIŞTIR</w:t>
      </w:r>
    </w:p>
    <w:p w14:paraId="0D497649" w14:textId="16C2AF72" w:rsidR="006C729C" w:rsidRDefault="006C729C" w:rsidP="006C729C">
      <w:pPr>
        <w:jc w:val="both"/>
      </w:pPr>
      <w:r>
        <w:t>06 Eylül 2025 tarihli ve 33009 sayılı Resmi Gazete’de yayımlanan 10362 sayılı Cumhurbaşkanı Kararı ile Harçlar</w:t>
      </w:r>
      <w:r w:rsidRPr="003F5B40">
        <w:t xml:space="preserve"> Kanunu</w:t>
      </w:r>
      <w:r>
        <w:t>’</w:t>
      </w:r>
      <w:r w:rsidRPr="003F5B40">
        <w:t xml:space="preserve">na </w:t>
      </w:r>
      <w:r>
        <w:t>bağlı</w:t>
      </w:r>
      <w:r w:rsidRPr="003F5B40">
        <w:t xml:space="preserve"> (</w:t>
      </w:r>
      <w:r>
        <w:t>8</w:t>
      </w:r>
      <w:r w:rsidRPr="003F5B40">
        <w:t>) sayılı ta</w:t>
      </w:r>
      <w:r>
        <w:t>rifede</w:t>
      </w:r>
      <w:r w:rsidRPr="003F5B40">
        <w:t xml:space="preserve"> yer alan bazı </w:t>
      </w:r>
      <w:r>
        <w:t>harç</w:t>
      </w:r>
      <w:r w:rsidRPr="003F5B40">
        <w:t xml:space="preserve"> tutarlarının yeniden belirlenmesi hakkındaki Karar</w:t>
      </w:r>
      <w:r>
        <w:t xml:space="preserve"> </w:t>
      </w:r>
      <w:r w:rsidRPr="003F5B40">
        <w:t>yürürlüğe konulm</w:t>
      </w:r>
      <w:r>
        <w:t>uştur. Söz konusu Karar, yayımı tarihini izleyen gün, yani 07.09.2025 tarihinde yürürlüğe girecektir.</w:t>
      </w:r>
    </w:p>
    <w:p w14:paraId="564B8E23" w14:textId="164E4145" w:rsidR="006C729C" w:rsidRDefault="006C729C" w:rsidP="006C729C">
      <w:pPr>
        <w:jc w:val="both"/>
      </w:pPr>
      <w:r w:rsidRPr="003F5B40">
        <w:t>Söz konusu Karar ile</w:t>
      </w:r>
      <w:r>
        <w:rPr>
          <w:b/>
          <w:bCs/>
        </w:rPr>
        <w:t xml:space="preserve"> </w:t>
      </w:r>
      <w:hyperlink r:id="rId7" w:history="1">
        <w:r>
          <w:rPr>
            <w:rStyle w:val="Kpr"/>
            <w:color w:val="auto"/>
            <w:u w:val="none"/>
          </w:rPr>
          <w:t>Harçlar</w:t>
        </w:r>
        <w:r w:rsidRPr="003F5B40">
          <w:rPr>
            <w:rStyle w:val="Kpr"/>
            <w:color w:val="auto"/>
            <w:u w:val="none"/>
          </w:rPr>
          <w:t xml:space="preserve"> Kanunu</w:t>
        </w:r>
        <w:r>
          <w:rPr>
            <w:rStyle w:val="Kpr"/>
            <w:color w:val="auto"/>
            <w:u w:val="none"/>
          </w:rPr>
          <w:t>’</w:t>
        </w:r>
        <w:r w:rsidRPr="003F5B40">
          <w:rPr>
            <w:rStyle w:val="Kpr"/>
            <w:color w:val="auto"/>
            <w:u w:val="none"/>
          </w:rPr>
          <w:t>na</w:t>
        </w:r>
      </w:hyperlink>
      <w:r w:rsidRPr="003F5B40">
        <w:t> </w:t>
      </w:r>
      <w:r>
        <w:t>bağlı</w:t>
      </w:r>
      <w:r w:rsidRPr="003F5B40">
        <w:t xml:space="preserve"> (</w:t>
      </w:r>
      <w:r>
        <w:t>8</w:t>
      </w:r>
      <w:r w:rsidRPr="003F5B40">
        <w:t>) sayılı ta</w:t>
      </w:r>
      <w:r>
        <w:t>rifenin</w:t>
      </w:r>
      <w:r w:rsidRPr="003F5B40">
        <w:t xml:space="preserve"> “V</w:t>
      </w:r>
      <w:r>
        <w:t>I</w:t>
      </w:r>
      <w:r w:rsidRPr="003F5B40">
        <w:t>.</w:t>
      </w:r>
      <w:r>
        <w:t xml:space="preserve"> </w:t>
      </w:r>
      <w:r w:rsidRPr="003F5B40">
        <w:t>M</w:t>
      </w:r>
      <w:r>
        <w:t xml:space="preserve">eslek erbabına verilecek tezkere, vesika ve ruhsatlardan alınan harçlar” başlıklı bölümünün 16 numaralı fıkrasında yer alan maktu harç tutarları </w:t>
      </w:r>
      <w:r w:rsidRPr="003F5B40">
        <w:t>aşağıdaki şekilde belirlenmiştir.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374"/>
        <w:gridCol w:w="1701"/>
      </w:tblGrid>
      <w:tr w:rsidR="006C729C" w:rsidRPr="001B6A47" w14:paraId="611AC0A7" w14:textId="77777777" w:rsidTr="00A90C61">
        <w:tc>
          <w:tcPr>
            <w:tcW w:w="6374" w:type="dxa"/>
          </w:tcPr>
          <w:p w14:paraId="09D71553" w14:textId="4FB29430" w:rsidR="006C729C" w:rsidRPr="001B6A47" w:rsidRDefault="006C729C" w:rsidP="006C729C">
            <w:pPr>
              <w:jc w:val="both"/>
              <w:rPr>
                <w:b/>
                <w:bCs/>
                <w:sz w:val="20"/>
                <w:szCs w:val="20"/>
              </w:rPr>
            </w:pPr>
            <w:r w:rsidRPr="001B6A47">
              <w:rPr>
                <w:b/>
                <w:bCs/>
                <w:sz w:val="20"/>
                <w:szCs w:val="20"/>
              </w:rPr>
              <w:t>16. Silah taşıma ve bulundurma vesikaları:</w:t>
            </w:r>
          </w:p>
        </w:tc>
        <w:tc>
          <w:tcPr>
            <w:tcW w:w="1701" w:type="dxa"/>
          </w:tcPr>
          <w:p w14:paraId="1B59DA5C" w14:textId="77777777" w:rsidR="006C729C" w:rsidRPr="001B6A47" w:rsidRDefault="006C729C" w:rsidP="006C729C">
            <w:pPr>
              <w:jc w:val="both"/>
              <w:rPr>
                <w:sz w:val="20"/>
                <w:szCs w:val="20"/>
              </w:rPr>
            </w:pPr>
          </w:p>
        </w:tc>
      </w:tr>
      <w:tr w:rsidR="006C729C" w:rsidRPr="001B6A47" w14:paraId="118E9627" w14:textId="77777777" w:rsidTr="00A90C61">
        <w:tc>
          <w:tcPr>
            <w:tcW w:w="6374" w:type="dxa"/>
          </w:tcPr>
          <w:p w14:paraId="5A5DC093" w14:textId="55092307" w:rsidR="006C729C" w:rsidRPr="001B6A47" w:rsidRDefault="006C729C" w:rsidP="006C729C">
            <w:pPr>
              <w:jc w:val="both"/>
              <w:rPr>
                <w:sz w:val="20"/>
                <w:szCs w:val="20"/>
              </w:rPr>
            </w:pPr>
            <w:r w:rsidRPr="001B6A47">
              <w:rPr>
                <w:sz w:val="20"/>
                <w:szCs w:val="20"/>
              </w:rPr>
              <w:t>a) Resmi makamlar tarafından gerçek kişilere verilecek silah taşıma müsaade vesikaları</w:t>
            </w:r>
            <w:r w:rsidR="00A90C61" w:rsidRPr="001B6A47">
              <w:rPr>
                <w:sz w:val="20"/>
                <w:szCs w:val="20"/>
              </w:rPr>
              <w:t xml:space="preserve"> (her yıl için)</w:t>
            </w:r>
          </w:p>
        </w:tc>
        <w:tc>
          <w:tcPr>
            <w:tcW w:w="1701" w:type="dxa"/>
          </w:tcPr>
          <w:p w14:paraId="59B1B58C" w14:textId="1FFE79E7" w:rsidR="006C729C" w:rsidRPr="001B6A47" w:rsidRDefault="00A90C61" w:rsidP="00A90C61">
            <w:pPr>
              <w:jc w:val="right"/>
              <w:rPr>
                <w:sz w:val="20"/>
                <w:szCs w:val="20"/>
              </w:rPr>
            </w:pPr>
            <w:r w:rsidRPr="001B6A47">
              <w:rPr>
                <w:sz w:val="20"/>
                <w:szCs w:val="20"/>
              </w:rPr>
              <w:t>31.600,00 TL</w:t>
            </w:r>
          </w:p>
        </w:tc>
      </w:tr>
      <w:tr w:rsidR="006C729C" w:rsidRPr="001B6A47" w14:paraId="6D3CE14F" w14:textId="77777777" w:rsidTr="00A90C61">
        <w:tc>
          <w:tcPr>
            <w:tcW w:w="6374" w:type="dxa"/>
          </w:tcPr>
          <w:p w14:paraId="262304ED" w14:textId="33960C16" w:rsidR="006C729C" w:rsidRPr="001B6A47" w:rsidRDefault="00A90C61" w:rsidP="006C729C">
            <w:pPr>
              <w:jc w:val="both"/>
              <w:rPr>
                <w:sz w:val="20"/>
                <w:szCs w:val="20"/>
              </w:rPr>
            </w:pPr>
            <w:r w:rsidRPr="001B6A47">
              <w:rPr>
                <w:sz w:val="20"/>
                <w:szCs w:val="20"/>
              </w:rPr>
              <w:t>b) Bulundurma vesikaları</w:t>
            </w:r>
          </w:p>
        </w:tc>
        <w:tc>
          <w:tcPr>
            <w:tcW w:w="1701" w:type="dxa"/>
          </w:tcPr>
          <w:p w14:paraId="2880B8C3" w14:textId="2FE02BB1" w:rsidR="006C729C" w:rsidRPr="001B6A47" w:rsidRDefault="00A90C61" w:rsidP="00A90C61">
            <w:pPr>
              <w:jc w:val="right"/>
              <w:rPr>
                <w:sz w:val="20"/>
                <w:szCs w:val="20"/>
              </w:rPr>
            </w:pPr>
            <w:r w:rsidRPr="001B6A47">
              <w:rPr>
                <w:sz w:val="20"/>
                <w:szCs w:val="20"/>
              </w:rPr>
              <w:t>50.565,00 TL</w:t>
            </w:r>
          </w:p>
        </w:tc>
      </w:tr>
      <w:tr w:rsidR="006C729C" w:rsidRPr="001B6A47" w14:paraId="08DF7787" w14:textId="77777777" w:rsidTr="00A90C61">
        <w:tc>
          <w:tcPr>
            <w:tcW w:w="6374" w:type="dxa"/>
          </w:tcPr>
          <w:p w14:paraId="539C970C" w14:textId="4A8B91F8" w:rsidR="006C729C" w:rsidRPr="001B6A47" w:rsidRDefault="00A90C61" w:rsidP="006C729C">
            <w:pPr>
              <w:jc w:val="both"/>
              <w:rPr>
                <w:sz w:val="20"/>
                <w:szCs w:val="20"/>
              </w:rPr>
            </w:pPr>
            <w:r w:rsidRPr="001B6A47">
              <w:rPr>
                <w:sz w:val="20"/>
                <w:szCs w:val="20"/>
              </w:rPr>
              <w:t>c) Özel kanuna göre verilecek yivsiz tüfek ruhsatnameleri</w:t>
            </w:r>
          </w:p>
        </w:tc>
        <w:tc>
          <w:tcPr>
            <w:tcW w:w="1701" w:type="dxa"/>
          </w:tcPr>
          <w:p w14:paraId="395B913C" w14:textId="2B3E6F8A" w:rsidR="006C729C" w:rsidRPr="001B6A47" w:rsidRDefault="00A90C61" w:rsidP="00A90C61">
            <w:pPr>
              <w:jc w:val="right"/>
              <w:rPr>
                <w:sz w:val="20"/>
                <w:szCs w:val="20"/>
              </w:rPr>
            </w:pPr>
            <w:r w:rsidRPr="001B6A47">
              <w:rPr>
                <w:sz w:val="20"/>
                <w:szCs w:val="20"/>
              </w:rPr>
              <w:t>1.225,00 TL</w:t>
            </w:r>
          </w:p>
        </w:tc>
      </w:tr>
    </w:tbl>
    <w:p w14:paraId="2592BADF" w14:textId="77777777" w:rsidR="006C729C" w:rsidRDefault="006C729C" w:rsidP="006C729C">
      <w:pPr>
        <w:jc w:val="both"/>
      </w:pPr>
    </w:p>
    <w:p w14:paraId="0A61780C" w14:textId="34FEC902" w:rsidR="006C729C" w:rsidRPr="00C947EF" w:rsidRDefault="00C947EF" w:rsidP="00EB692F">
      <w:pPr>
        <w:jc w:val="both"/>
        <w:rPr>
          <w:b/>
          <w:bCs/>
          <w:sz w:val="26"/>
          <w:szCs w:val="26"/>
        </w:rPr>
      </w:pPr>
      <w:r w:rsidRPr="00C947EF">
        <w:rPr>
          <w:b/>
          <w:bCs/>
          <w:sz w:val="26"/>
          <w:szCs w:val="26"/>
        </w:rPr>
        <w:t>III- ÖZEL TÜKETİM VERGİSİ KANUNU’NA EKLİ (II) SAYILI LİSTEDE YER ALAN BAZI MALLARIN ÖZEL TÜKETİM VERGİSİ ORANLARI YENİDEN TESPİT EDİLMİŞTİR</w:t>
      </w:r>
    </w:p>
    <w:p w14:paraId="6866D375" w14:textId="5665C56F" w:rsidR="00C947EF" w:rsidRDefault="00C947EF" w:rsidP="00C947EF">
      <w:pPr>
        <w:jc w:val="both"/>
      </w:pPr>
      <w:r>
        <w:t xml:space="preserve">06 Eylül 2025 tarihli ve 33009 sayılı Resmi Gazete’de yayımlanan 10363 sayılı Cumhurbaşkanı Kararı ile </w:t>
      </w:r>
      <w:r w:rsidRPr="00C947EF">
        <w:t>Özel Tüketim Vergisi Kanunu</w:t>
      </w:r>
      <w:r>
        <w:t>’</w:t>
      </w:r>
      <w:r w:rsidRPr="00C947EF">
        <w:t xml:space="preserve">na ekli (II) sayılı listede yer alan bazı malların özel tüketim vergisi oranlarının yeniden </w:t>
      </w:r>
      <w:r w:rsidRPr="003F5B40">
        <w:t>belirlenmesi hakkındaki Karar</w:t>
      </w:r>
      <w:r>
        <w:t xml:space="preserve"> </w:t>
      </w:r>
      <w:r w:rsidRPr="003F5B40">
        <w:t>yürürlüğe konulm</w:t>
      </w:r>
      <w:r>
        <w:t>uştur. Söz konusu Karar, yayımı tarihinde yürürlüğe girmiştir.</w:t>
      </w:r>
    </w:p>
    <w:p w14:paraId="1F9D8317" w14:textId="5005DF1A" w:rsidR="00C947EF" w:rsidRDefault="00C947EF">
      <w:hyperlink r:id="rId8" w:history="1">
        <w:r w:rsidRPr="00C947EF">
          <w:rPr>
            <w:rStyle w:val="Kpr"/>
            <w:color w:val="auto"/>
            <w:u w:val="none"/>
          </w:rPr>
          <w:t>Özel Tüketim Vergisi Kanunu</w:t>
        </w:r>
        <w:r>
          <w:rPr>
            <w:rStyle w:val="Kpr"/>
            <w:color w:val="auto"/>
            <w:u w:val="none"/>
          </w:rPr>
          <w:t>’</w:t>
        </w:r>
        <w:r w:rsidRPr="00C947EF">
          <w:rPr>
            <w:rStyle w:val="Kpr"/>
            <w:color w:val="auto"/>
            <w:u w:val="none"/>
          </w:rPr>
          <w:t>na</w:t>
        </w:r>
      </w:hyperlink>
      <w:r w:rsidRPr="00C947EF">
        <w:t> ekli (II) sayılı listede yer alan bazı malların özel tüketim vergisi oranları aşağıdaki şekilde tespit edilmiştir.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7"/>
        <w:gridCol w:w="5669"/>
        <w:gridCol w:w="1136"/>
      </w:tblGrid>
      <w:tr w:rsidR="00C947EF" w:rsidRPr="00C947EF" w14:paraId="7EBA900C" w14:textId="77777777" w:rsidTr="001B6A47">
        <w:tc>
          <w:tcPr>
            <w:tcW w:w="124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2BC5FDB" w14:textId="77777777" w:rsidR="00C947EF" w:rsidRPr="00C947EF" w:rsidRDefault="00C947EF" w:rsidP="00C947EF">
            <w:pPr>
              <w:rPr>
                <w:sz w:val="20"/>
                <w:szCs w:val="20"/>
              </w:rPr>
            </w:pPr>
            <w:r w:rsidRPr="00C947EF">
              <w:rPr>
                <w:b/>
                <w:bCs/>
                <w:sz w:val="20"/>
                <w:szCs w:val="20"/>
              </w:rPr>
              <w:t>G.T.İ.P. NO</w:t>
            </w:r>
          </w:p>
        </w:tc>
        <w:tc>
          <w:tcPr>
            <w:tcW w:w="3128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FB60CC2" w14:textId="77777777" w:rsidR="00C947EF" w:rsidRPr="00C947EF" w:rsidRDefault="00C947EF" w:rsidP="00C947EF">
            <w:pPr>
              <w:rPr>
                <w:sz w:val="20"/>
                <w:szCs w:val="20"/>
              </w:rPr>
            </w:pPr>
            <w:r w:rsidRPr="00C947EF">
              <w:rPr>
                <w:b/>
                <w:bCs/>
                <w:sz w:val="20"/>
                <w:szCs w:val="20"/>
              </w:rPr>
              <w:t>Mal İsmi</w:t>
            </w:r>
          </w:p>
        </w:tc>
        <w:tc>
          <w:tcPr>
            <w:tcW w:w="627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6142ACA" w14:textId="77777777" w:rsidR="00C947EF" w:rsidRPr="00C947EF" w:rsidRDefault="00C947EF" w:rsidP="00C947EF">
            <w:pPr>
              <w:rPr>
                <w:sz w:val="20"/>
                <w:szCs w:val="20"/>
              </w:rPr>
            </w:pPr>
            <w:r w:rsidRPr="00C947EF">
              <w:rPr>
                <w:b/>
                <w:bCs/>
                <w:sz w:val="20"/>
                <w:szCs w:val="20"/>
              </w:rPr>
              <w:t>Vergi Oranı (%)</w:t>
            </w:r>
          </w:p>
        </w:tc>
      </w:tr>
      <w:tr w:rsidR="00C947EF" w:rsidRPr="00C947EF" w14:paraId="4C2FD4BF" w14:textId="77777777" w:rsidTr="001B6A47">
        <w:tc>
          <w:tcPr>
            <w:tcW w:w="124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635288D" w14:textId="77777777" w:rsidR="00C947EF" w:rsidRPr="00C947EF" w:rsidRDefault="00C947EF" w:rsidP="00C947EF">
            <w:pPr>
              <w:rPr>
                <w:sz w:val="20"/>
                <w:szCs w:val="20"/>
              </w:rPr>
            </w:pPr>
            <w:r w:rsidRPr="00C947EF">
              <w:rPr>
                <w:b/>
                <w:bCs/>
                <w:sz w:val="20"/>
                <w:szCs w:val="20"/>
              </w:rPr>
              <w:t>8901.10.10.00.11</w:t>
            </w:r>
          </w:p>
        </w:tc>
        <w:tc>
          <w:tcPr>
            <w:tcW w:w="3128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0617D5E" w14:textId="77777777" w:rsidR="00C947EF" w:rsidRPr="00C947EF" w:rsidRDefault="00C947EF" w:rsidP="00C947EF">
            <w:pPr>
              <w:rPr>
                <w:sz w:val="20"/>
                <w:szCs w:val="20"/>
              </w:rPr>
            </w:pPr>
            <w:r w:rsidRPr="00C947EF">
              <w:rPr>
                <w:b/>
                <w:bCs/>
                <w:sz w:val="20"/>
                <w:szCs w:val="20"/>
              </w:rPr>
              <w:t>18 Gros tonilatoyu geçmeyen gezinti gemileri </w:t>
            </w:r>
            <w:r w:rsidRPr="00C947EF">
              <w:rPr>
                <w:sz w:val="20"/>
                <w:szCs w:val="20"/>
              </w:rPr>
              <w:t>(Denizde seyretmeye mahsus olanlar)</w:t>
            </w:r>
          </w:p>
        </w:tc>
        <w:tc>
          <w:tcPr>
            <w:tcW w:w="627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7135850" w14:textId="77777777" w:rsidR="00C947EF" w:rsidRPr="00C947EF" w:rsidRDefault="00C947EF" w:rsidP="001B6A47">
            <w:pPr>
              <w:jc w:val="center"/>
              <w:rPr>
                <w:sz w:val="20"/>
                <w:szCs w:val="20"/>
              </w:rPr>
            </w:pPr>
            <w:r w:rsidRPr="00C947EF">
              <w:rPr>
                <w:sz w:val="20"/>
                <w:szCs w:val="20"/>
              </w:rPr>
              <w:t>8</w:t>
            </w:r>
          </w:p>
        </w:tc>
      </w:tr>
      <w:tr w:rsidR="00C947EF" w:rsidRPr="00C947EF" w14:paraId="58C0474D" w14:textId="77777777" w:rsidTr="001B6A47">
        <w:tc>
          <w:tcPr>
            <w:tcW w:w="124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2017B80" w14:textId="77777777" w:rsidR="00C947EF" w:rsidRPr="00C947EF" w:rsidRDefault="00C947EF" w:rsidP="00C947EF">
            <w:pPr>
              <w:rPr>
                <w:sz w:val="20"/>
                <w:szCs w:val="20"/>
              </w:rPr>
            </w:pPr>
            <w:r w:rsidRPr="00C947EF">
              <w:rPr>
                <w:b/>
                <w:bCs/>
                <w:sz w:val="20"/>
                <w:szCs w:val="20"/>
              </w:rPr>
              <w:t>8901.10.90.00.11</w:t>
            </w:r>
          </w:p>
        </w:tc>
        <w:tc>
          <w:tcPr>
            <w:tcW w:w="3128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DEBCEB7" w14:textId="77777777" w:rsidR="00C947EF" w:rsidRPr="00C947EF" w:rsidRDefault="00C947EF" w:rsidP="00C947EF">
            <w:pPr>
              <w:rPr>
                <w:sz w:val="20"/>
                <w:szCs w:val="20"/>
              </w:rPr>
            </w:pPr>
            <w:r w:rsidRPr="00C947EF">
              <w:rPr>
                <w:b/>
                <w:bCs/>
                <w:sz w:val="20"/>
                <w:szCs w:val="20"/>
              </w:rPr>
              <w:t>Yolcu ve gezinti gemileri</w:t>
            </w:r>
          </w:p>
          <w:p w14:paraId="0A662DEE" w14:textId="77777777" w:rsidR="00C947EF" w:rsidRPr="00C947EF" w:rsidRDefault="00C947EF" w:rsidP="00C947EF">
            <w:pPr>
              <w:rPr>
                <w:sz w:val="20"/>
                <w:szCs w:val="20"/>
              </w:rPr>
            </w:pPr>
            <w:r w:rsidRPr="00C947EF">
              <w:rPr>
                <w:sz w:val="20"/>
                <w:szCs w:val="20"/>
              </w:rPr>
              <w:lastRenderedPageBreak/>
              <w:t>(Denizde seyretmeye mahsus olmayanlar)</w:t>
            </w:r>
          </w:p>
        </w:tc>
        <w:tc>
          <w:tcPr>
            <w:tcW w:w="627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CFCC939" w14:textId="77777777" w:rsidR="00C947EF" w:rsidRPr="00C947EF" w:rsidRDefault="00C947EF" w:rsidP="001B6A47">
            <w:pPr>
              <w:jc w:val="center"/>
              <w:rPr>
                <w:sz w:val="20"/>
                <w:szCs w:val="20"/>
              </w:rPr>
            </w:pPr>
            <w:r w:rsidRPr="00C947EF">
              <w:rPr>
                <w:sz w:val="20"/>
                <w:szCs w:val="20"/>
              </w:rPr>
              <w:lastRenderedPageBreak/>
              <w:t>8</w:t>
            </w:r>
          </w:p>
        </w:tc>
      </w:tr>
      <w:tr w:rsidR="00C947EF" w:rsidRPr="00C947EF" w14:paraId="354F5808" w14:textId="77777777" w:rsidTr="001B6A47">
        <w:tc>
          <w:tcPr>
            <w:tcW w:w="1245" w:type="pct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37C4CA2" w14:textId="77777777" w:rsidR="00C947EF" w:rsidRPr="00C947EF" w:rsidRDefault="00C947EF" w:rsidP="00C947EF">
            <w:pPr>
              <w:rPr>
                <w:sz w:val="20"/>
                <w:szCs w:val="20"/>
              </w:rPr>
            </w:pPr>
            <w:r w:rsidRPr="00C947EF">
              <w:rPr>
                <w:b/>
                <w:bCs/>
                <w:sz w:val="20"/>
                <w:szCs w:val="20"/>
              </w:rPr>
              <w:t>89.03</w:t>
            </w:r>
          </w:p>
        </w:tc>
        <w:tc>
          <w:tcPr>
            <w:tcW w:w="3128" w:type="pct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294BFC4" w14:textId="77777777" w:rsidR="00C947EF" w:rsidRPr="00C947EF" w:rsidRDefault="00C947EF" w:rsidP="00C947EF">
            <w:pPr>
              <w:rPr>
                <w:sz w:val="20"/>
                <w:szCs w:val="20"/>
              </w:rPr>
            </w:pPr>
            <w:r w:rsidRPr="00C947EF">
              <w:rPr>
                <w:b/>
                <w:bCs/>
                <w:sz w:val="20"/>
                <w:szCs w:val="20"/>
              </w:rPr>
              <w:t>Yatlar ve diğer eğlence ve spor amaçlı deniz taşıtları; kürekli kayıklar ve kanolar</w:t>
            </w:r>
          </w:p>
          <w:p w14:paraId="0F8D7EAC" w14:textId="458AFE3A" w:rsidR="00C947EF" w:rsidRPr="00C947EF" w:rsidRDefault="00C947EF" w:rsidP="00C947EF">
            <w:pPr>
              <w:rPr>
                <w:sz w:val="20"/>
                <w:szCs w:val="20"/>
              </w:rPr>
            </w:pPr>
            <w:r w:rsidRPr="00C947EF">
              <w:rPr>
                <w:sz w:val="20"/>
                <w:szCs w:val="20"/>
              </w:rPr>
              <w:t>(Şişirilebilir olanlar, birim ağırlığı 100 kg</w:t>
            </w:r>
            <w:r w:rsidRPr="001B6A47">
              <w:rPr>
                <w:sz w:val="20"/>
                <w:szCs w:val="20"/>
              </w:rPr>
              <w:t>’</w:t>
            </w:r>
            <w:r w:rsidRPr="00C947EF">
              <w:rPr>
                <w:sz w:val="20"/>
                <w:szCs w:val="20"/>
              </w:rPr>
              <w:t>ı geçmeyenler, kürekli kayıklar ve kanolar hariç)</w:t>
            </w:r>
          </w:p>
          <w:p w14:paraId="4241565D" w14:textId="77777777" w:rsidR="00C947EF" w:rsidRPr="00C947EF" w:rsidRDefault="00C947EF" w:rsidP="00C947EF">
            <w:pPr>
              <w:rPr>
                <w:sz w:val="20"/>
                <w:szCs w:val="20"/>
              </w:rPr>
            </w:pPr>
            <w:r w:rsidRPr="00C947EF">
              <w:rPr>
                <w:sz w:val="20"/>
                <w:szCs w:val="20"/>
              </w:rPr>
              <w:t>– Yatlar, kotralar, tekneler ve gezinti gemileri</w:t>
            </w:r>
          </w:p>
        </w:tc>
        <w:tc>
          <w:tcPr>
            <w:tcW w:w="627" w:type="pct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F9B0B5E" w14:textId="77777777" w:rsidR="00C947EF" w:rsidRPr="00C947EF" w:rsidRDefault="00C947EF" w:rsidP="001B6A47">
            <w:pPr>
              <w:jc w:val="center"/>
              <w:rPr>
                <w:sz w:val="20"/>
                <w:szCs w:val="20"/>
              </w:rPr>
            </w:pPr>
            <w:r w:rsidRPr="00C947EF">
              <w:rPr>
                <w:sz w:val="20"/>
                <w:szCs w:val="20"/>
              </w:rPr>
              <w:t>8</w:t>
            </w:r>
          </w:p>
          <w:p w14:paraId="5A101054" w14:textId="77777777" w:rsidR="00C947EF" w:rsidRPr="00C947EF" w:rsidRDefault="00C947EF" w:rsidP="001B6A47">
            <w:pPr>
              <w:jc w:val="center"/>
              <w:rPr>
                <w:sz w:val="20"/>
                <w:szCs w:val="20"/>
              </w:rPr>
            </w:pPr>
            <w:r w:rsidRPr="00C947EF">
              <w:rPr>
                <w:sz w:val="20"/>
                <w:szCs w:val="20"/>
              </w:rPr>
              <w:t>8</w:t>
            </w:r>
          </w:p>
        </w:tc>
      </w:tr>
    </w:tbl>
    <w:p w14:paraId="31ED6665" w14:textId="77777777" w:rsidR="00C947EF" w:rsidRDefault="00C947EF"/>
    <w:p w14:paraId="7C043B10" w14:textId="77777777" w:rsidR="005826C8" w:rsidRDefault="005826C8">
      <w:pPr>
        <w:rPr>
          <w:b/>
          <w:bCs/>
          <w:sz w:val="26"/>
          <w:szCs w:val="26"/>
        </w:rPr>
      </w:pPr>
    </w:p>
    <w:p w14:paraId="44C2624F" w14:textId="6F1B0E65" w:rsidR="005826C8" w:rsidRPr="005826C8" w:rsidRDefault="005826C8">
      <w:pPr>
        <w:rPr>
          <w:b/>
          <w:bCs/>
          <w:sz w:val="26"/>
          <w:szCs w:val="26"/>
        </w:rPr>
      </w:pPr>
      <w:r w:rsidRPr="005826C8">
        <w:rPr>
          <w:b/>
          <w:bCs/>
          <w:sz w:val="26"/>
          <w:szCs w:val="26"/>
        </w:rPr>
        <w:t>IV- ORTA VADELİ PROGRAM (2026-2028) ONAYLANMIŞTIR</w:t>
      </w:r>
    </w:p>
    <w:p w14:paraId="58CDED72" w14:textId="02007E14" w:rsidR="005826C8" w:rsidRDefault="005826C8" w:rsidP="005826C8">
      <w:pPr>
        <w:jc w:val="both"/>
      </w:pPr>
      <w:r>
        <w:t xml:space="preserve">07 Eylül 2025 tarihli ve mükerrer 33010 sayılı Resmi Gazete’de yayımlanan 10376 sayılı Cumhurbaşkanı Kararı ile Hazine ve Maliye Bakanlığı ile Strateji ve Bütçe Başkanlığı’nca hazırlanan Orta Vadeli Program (2026-2028) onaylanmıştır. Orta Vadeli Program metnine söz konusu </w:t>
      </w:r>
      <w:r w:rsidR="00C136DA">
        <w:t>R</w:t>
      </w:r>
      <w:r>
        <w:t>esm</w:t>
      </w:r>
      <w:r w:rsidR="00C136DA">
        <w:t>î</w:t>
      </w:r>
      <w:r>
        <w:t xml:space="preserve"> Gazete’den ulaşmak mümkündür.</w:t>
      </w:r>
    </w:p>
    <w:p w14:paraId="45842FC8" w14:textId="77777777" w:rsidR="00F8375D" w:rsidRDefault="00F8375D" w:rsidP="005826C8">
      <w:pPr>
        <w:jc w:val="both"/>
      </w:pPr>
    </w:p>
    <w:sectPr w:rsidR="00F8375D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3C9479" w14:textId="77777777" w:rsidR="000071DE" w:rsidRDefault="000071DE" w:rsidP="00607EF1">
      <w:pPr>
        <w:spacing w:after="0" w:line="240" w:lineRule="auto"/>
      </w:pPr>
      <w:r>
        <w:separator/>
      </w:r>
    </w:p>
  </w:endnote>
  <w:endnote w:type="continuationSeparator" w:id="0">
    <w:p w14:paraId="23857B25" w14:textId="77777777" w:rsidR="000071DE" w:rsidRDefault="000071DE" w:rsidP="00607E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87183362"/>
      <w:docPartObj>
        <w:docPartGallery w:val="Page Numbers (Bottom of Page)"/>
        <w:docPartUnique/>
      </w:docPartObj>
    </w:sdtPr>
    <w:sdtEndPr/>
    <w:sdtContent>
      <w:p w14:paraId="564AF3FB" w14:textId="5C2A6AE9" w:rsidR="00607EF1" w:rsidRDefault="00607EF1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D8DB5CB" w14:textId="77777777" w:rsidR="00607EF1" w:rsidRDefault="00607EF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E64902" w14:textId="77777777" w:rsidR="000071DE" w:rsidRDefault="000071DE" w:rsidP="00607EF1">
      <w:pPr>
        <w:spacing w:after="0" w:line="240" w:lineRule="auto"/>
      </w:pPr>
      <w:r>
        <w:separator/>
      </w:r>
    </w:p>
  </w:footnote>
  <w:footnote w:type="continuationSeparator" w:id="0">
    <w:p w14:paraId="0CFD057A" w14:textId="77777777" w:rsidR="000071DE" w:rsidRDefault="000071DE" w:rsidP="00607E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MON_1812315451"/>
  <w:bookmarkEnd w:id="0"/>
  <w:p w14:paraId="7DFC7518" w14:textId="0D287677" w:rsidR="000C2398" w:rsidRDefault="000C2398">
    <w:pPr>
      <w:pStyle w:val="stBilgi"/>
    </w:pPr>
    <w:r w:rsidRPr="00F22779">
      <w:rPr>
        <w:b/>
        <w:bCs/>
      </w:rPr>
      <w:object w:dxaOrig="9072" w:dyaOrig="1927" w14:anchorId="2B4EE80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3.5pt;height:96.5pt">
          <v:imagedata r:id="rId1" o:title=""/>
        </v:shape>
        <o:OLEObject Type="Embed" ProgID="Word.Document.12" ShapeID="_x0000_i1025" DrawAspect="Content" ObjectID="_1818840516" r:id="rId2">
          <o:FieldCodes>\s</o:FieldCodes>
        </o:OLEObject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B40"/>
    <w:rsid w:val="000071DE"/>
    <w:rsid w:val="00083E68"/>
    <w:rsid w:val="000C2398"/>
    <w:rsid w:val="001B6A47"/>
    <w:rsid w:val="00281C1F"/>
    <w:rsid w:val="003F5B40"/>
    <w:rsid w:val="005826C8"/>
    <w:rsid w:val="00607EF1"/>
    <w:rsid w:val="006952A1"/>
    <w:rsid w:val="006C729C"/>
    <w:rsid w:val="00794D3A"/>
    <w:rsid w:val="0091412D"/>
    <w:rsid w:val="009B6807"/>
    <w:rsid w:val="009F7332"/>
    <w:rsid w:val="00A90C61"/>
    <w:rsid w:val="00BB3FCF"/>
    <w:rsid w:val="00C136DA"/>
    <w:rsid w:val="00C23507"/>
    <w:rsid w:val="00C3655F"/>
    <w:rsid w:val="00C947EF"/>
    <w:rsid w:val="00EB692F"/>
    <w:rsid w:val="00F83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7C612"/>
  <w15:chartTrackingRefBased/>
  <w15:docId w15:val="{8C1FE69A-95B3-4E7F-967C-8ED690A4E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3F5B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F5B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F5B4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F5B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F5B4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F5B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F5B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F5B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F5B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F5B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F5B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F5B4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F5B40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F5B40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F5B40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F5B40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F5B40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F5B40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3F5B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F5B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3F5B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3F5B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3F5B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3F5B40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3F5B40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3F5B40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3F5B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3F5B40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3F5B40"/>
    <w:rPr>
      <w:b/>
      <w:bCs/>
      <w:smallCaps/>
      <w:color w:val="2F5496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3F5B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F5B40"/>
  </w:style>
  <w:style w:type="character" w:styleId="Kpr">
    <w:name w:val="Hyperlink"/>
    <w:basedOn w:val="VarsaylanParagrafYazTipi"/>
    <w:uiPriority w:val="99"/>
    <w:unhideWhenUsed/>
    <w:rsid w:val="003F5B40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3F5B40"/>
    <w:rPr>
      <w:color w:val="605E5C"/>
      <w:shd w:val="clear" w:color="auto" w:fill="E1DFDD"/>
    </w:rPr>
  </w:style>
  <w:style w:type="table" w:styleId="TabloKlavuzu">
    <w:name w:val="Table Grid"/>
    <w:basedOn w:val="NormalTablo"/>
    <w:uiPriority w:val="39"/>
    <w:rsid w:val="006C7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unhideWhenUsed/>
    <w:rsid w:val="00607E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07E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lomaliye.com/2002/06/12/ozel-tuketim-vergisi-kanunu-otv-4760-sayili-kanun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alomaliye.com/2000/01/02/488-sayili-damga-vergisi-kanunu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lomaliye.com/2000/01/02/488-sayili-damga-vergisi-kanunu/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Word_Document.doc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657</Words>
  <Characters>3747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Tuncay KAPUSUZOGLU</dc:creator>
  <cp:keywords/>
  <dc:description/>
  <cp:lastModifiedBy>Devrim ATATAŞ</cp:lastModifiedBy>
  <cp:revision>12</cp:revision>
  <dcterms:created xsi:type="dcterms:W3CDTF">2025-09-06T12:41:00Z</dcterms:created>
  <dcterms:modified xsi:type="dcterms:W3CDTF">2025-09-08T09:42:00Z</dcterms:modified>
</cp:coreProperties>
</file>