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D3CAB" w14:textId="41E9085C" w:rsidR="003926A2" w:rsidRPr="00D32217" w:rsidRDefault="003926A2" w:rsidP="003926A2">
      <w:pPr>
        <w:pStyle w:val="stBilgi"/>
        <w:jc w:val="center"/>
        <w:rPr>
          <w:b/>
          <w:bCs/>
          <w:sz w:val="32"/>
          <w:szCs w:val="32"/>
        </w:rPr>
      </w:pPr>
      <w:r>
        <w:rPr>
          <w:b/>
          <w:bCs/>
          <w:sz w:val="32"/>
          <w:szCs w:val="32"/>
        </w:rPr>
        <w:t>VERGİ MEVZUATINDAKİ GELİŞMELER 2025/ARALIK-1</w:t>
      </w:r>
    </w:p>
    <w:p w14:paraId="1E841259" w14:textId="27E058D7" w:rsidR="00E85604" w:rsidRPr="009D6DD7" w:rsidRDefault="00E85604" w:rsidP="00E85604">
      <w:pPr>
        <w:pStyle w:val="stBilgi"/>
        <w:jc w:val="center"/>
        <w:rPr>
          <w:b/>
          <w:bCs/>
          <w:sz w:val="18"/>
          <w:szCs w:val="18"/>
        </w:rPr>
      </w:pPr>
      <w:r w:rsidRPr="009D6DD7">
        <w:rPr>
          <w:b/>
          <w:bCs/>
          <w:sz w:val="18"/>
          <w:szCs w:val="18"/>
        </w:rPr>
        <w:t>(</w:t>
      </w:r>
      <w:r>
        <w:rPr>
          <w:b/>
          <w:bCs/>
          <w:sz w:val="18"/>
          <w:szCs w:val="18"/>
        </w:rPr>
        <w:t>28.11.2025-</w:t>
      </w:r>
      <w:r w:rsidR="00C51234">
        <w:rPr>
          <w:b/>
          <w:bCs/>
          <w:sz w:val="18"/>
          <w:szCs w:val="18"/>
        </w:rPr>
        <w:t>10.12.2025</w:t>
      </w:r>
      <w:r w:rsidRPr="009D6DD7">
        <w:rPr>
          <w:b/>
          <w:bCs/>
          <w:sz w:val="18"/>
          <w:szCs w:val="18"/>
        </w:rPr>
        <w:t>)</w:t>
      </w:r>
    </w:p>
    <w:p w14:paraId="7C5664AD" w14:textId="77777777" w:rsidR="00C23507" w:rsidRDefault="00C23507"/>
    <w:p w14:paraId="1ABE6644" w14:textId="19482375" w:rsidR="00E85604" w:rsidRPr="00E85604" w:rsidRDefault="00E85604" w:rsidP="00E85604">
      <w:pPr>
        <w:rPr>
          <w:b/>
          <w:bCs/>
          <w:sz w:val="26"/>
          <w:szCs w:val="26"/>
        </w:rPr>
      </w:pPr>
      <w:r w:rsidRPr="00E85604">
        <w:rPr>
          <w:b/>
          <w:bCs/>
          <w:sz w:val="26"/>
          <w:szCs w:val="26"/>
        </w:rPr>
        <w:t>I- GİRİŞİM SERMAYESİ FONLARINA KATILIM VE GİRİŞİM SERMAYESİ</w:t>
      </w:r>
      <w:r>
        <w:rPr>
          <w:b/>
          <w:bCs/>
          <w:sz w:val="26"/>
          <w:szCs w:val="26"/>
        </w:rPr>
        <w:t xml:space="preserve"> </w:t>
      </w:r>
      <w:r w:rsidRPr="00E85604">
        <w:rPr>
          <w:b/>
          <w:bCs/>
          <w:sz w:val="26"/>
          <w:szCs w:val="26"/>
        </w:rPr>
        <w:t>UYGULAMALARI HAKKINDA YÖNETMELİK YAYIMLANMIŞTIR</w:t>
      </w:r>
    </w:p>
    <w:p w14:paraId="738E9DB5" w14:textId="11AE58B1" w:rsidR="00E85604" w:rsidRDefault="00E85604" w:rsidP="00895312">
      <w:pPr>
        <w:jc w:val="both"/>
      </w:pPr>
      <w:r w:rsidRPr="00E85604">
        <w:t xml:space="preserve">Girişim Sermayesi Fonlarına Katılım </w:t>
      </w:r>
      <w:r>
        <w:t>v</w:t>
      </w:r>
      <w:r w:rsidRPr="00E85604">
        <w:t>e Girişim Sermayesi</w:t>
      </w:r>
      <w:r>
        <w:t xml:space="preserve"> </w:t>
      </w:r>
      <w:r w:rsidRPr="00E85604">
        <w:t>Uygulamaları Hakkında Yönetmelik</w:t>
      </w:r>
      <w:r>
        <w:t xml:space="preserve">, 28 Kasım 2025 tarihli ve 33091 sayılı Resmî </w:t>
      </w:r>
      <w:proofErr w:type="spellStart"/>
      <w:r>
        <w:t>Gazete’de</w:t>
      </w:r>
      <w:proofErr w:type="spellEnd"/>
      <w:r>
        <w:t xml:space="preserve"> yayımlanmıştır.</w:t>
      </w:r>
    </w:p>
    <w:p w14:paraId="0E1715CF" w14:textId="5F4AC164" w:rsidR="00E85604" w:rsidRDefault="00E85604" w:rsidP="00895312">
      <w:pPr>
        <w:jc w:val="both"/>
      </w:pPr>
      <w:r>
        <w:t>T</w:t>
      </w:r>
      <w:r w:rsidRPr="00E85604">
        <w:t>eknoloji, teknolojik üretim ve yenilik faaliyetlerini desteklemek amacıyla Bakanlık bütçesinden girişim sermayesi fonlarına aktarılacak kaynağın kapsamı, şartları, değerlendirilmesi, izlenmesi, denetimi ve uygulamaya dair usul ve esasları düzenleme</w:t>
      </w:r>
      <w:r>
        <w:t xml:space="preserve">leri içeren söz konusu Yönetmeliğe, 28 Kasım 2025 tarihli ve 33091 sayılı Resmî </w:t>
      </w:r>
      <w:proofErr w:type="spellStart"/>
      <w:r>
        <w:t>Gazete’den</w:t>
      </w:r>
      <w:proofErr w:type="spellEnd"/>
      <w:r>
        <w:t xml:space="preserve"> ulaşmak mümkündür.</w:t>
      </w:r>
      <w:r w:rsidR="0067511C">
        <w:t xml:space="preserve"> </w:t>
      </w:r>
    </w:p>
    <w:p w14:paraId="17B243D4" w14:textId="3A2F7F8B" w:rsidR="0067511C" w:rsidRPr="00DE4326" w:rsidRDefault="0067511C" w:rsidP="00895312">
      <w:pPr>
        <w:jc w:val="both"/>
        <w:rPr>
          <w:sz w:val="18"/>
          <w:szCs w:val="18"/>
        </w:rPr>
      </w:pPr>
      <w:r w:rsidRPr="00DE4326">
        <w:rPr>
          <w:sz w:val="18"/>
          <w:szCs w:val="18"/>
        </w:rPr>
        <w:t>(</w:t>
      </w:r>
      <w:hyperlink r:id="rId6" w:history="1">
        <w:r w:rsidRPr="00DE4326">
          <w:rPr>
            <w:rStyle w:val="Kpr"/>
            <w:sz w:val="18"/>
            <w:szCs w:val="18"/>
          </w:rPr>
          <w:t>https://www.resmigazete.gov.tr/eskiler/2025/11/20251128-3.htm</w:t>
        </w:r>
      </w:hyperlink>
      <w:r w:rsidRPr="00DE4326">
        <w:rPr>
          <w:sz w:val="18"/>
          <w:szCs w:val="18"/>
        </w:rPr>
        <w:t>)</w:t>
      </w:r>
    </w:p>
    <w:p w14:paraId="27D2FDAC" w14:textId="77777777" w:rsidR="003926A2" w:rsidRDefault="003926A2">
      <w:pPr>
        <w:rPr>
          <w:b/>
          <w:bCs/>
          <w:sz w:val="26"/>
          <w:szCs w:val="26"/>
        </w:rPr>
      </w:pPr>
    </w:p>
    <w:p w14:paraId="6822CBFF" w14:textId="23F2772F" w:rsidR="00895312" w:rsidRDefault="0067511C">
      <w:pPr>
        <w:rPr>
          <w:b/>
          <w:bCs/>
          <w:sz w:val="26"/>
          <w:szCs w:val="26"/>
        </w:rPr>
      </w:pPr>
      <w:r>
        <w:rPr>
          <w:b/>
          <w:bCs/>
          <w:sz w:val="26"/>
          <w:szCs w:val="26"/>
        </w:rPr>
        <w:t>I</w:t>
      </w:r>
      <w:r w:rsidR="00895312">
        <w:rPr>
          <w:b/>
          <w:bCs/>
          <w:sz w:val="26"/>
          <w:szCs w:val="26"/>
        </w:rPr>
        <w:t>I- 193 NO’LU VERGİ USUL KANUNU SİRKÜLERİ YAYIMLANMIŞTIR</w:t>
      </w:r>
    </w:p>
    <w:p w14:paraId="389C037A" w14:textId="4BFA1619" w:rsidR="00895312" w:rsidRDefault="00895312" w:rsidP="00895312">
      <w:pPr>
        <w:jc w:val="both"/>
      </w:pPr>
      <w:r w:rsidRPr="00895312">
        <w:t xml:space="preserve">Gelir İdaresi Başkanlığı’nın 01.12.2025 tarihli ve VUK-193/2025-14 </w:t>
      </w:r>
      <w:proofErr w:type="spellStart"/>
      <w:r w:rsidRPr="00895312">
        <w:t>No’lu</w:t>
      </w:r>
      <w:proofErr w:type="spellEnd"/>
      <w:r w:rsidRPr="00895312">
        <w:t xml:space="preserve"> Sirküleri </w:t>
      </w:r>
      <w:r>
        <w:t>ile 3</w:t>
      </w:r>
      <w:r w:rsidRPr="00895312">
        <w:t>1 Aralık 2025 günü sonuna kadar verilmesi gereken 2024 hesap dönemine ilişkin Yerel Asgari Tamamlayıcı Kurumlar Vergisi beyannamelerinin verilme süreleri ve bu beyannameler üzerine tahakkuk eden vergilerin ödeme süreleri</w:t>
      </w:r>
      <w:r>
        <w:t xml:space="preserve"> uzatılmıştır.</w:t>
      </w:r>
    </w:p>
    <w:p w14:paraId="509619C3" w14:textId="6FC77EC4" w:rsidR="00067AF8" w:rsidRDefault="00067AF8" w:rsidP="00895312">
      <w:pPr>
        <w:jc w:val="both"/>
      </w:pPr>
      <w:r>
        <w:t>Yayımlanan söz konusu Sirkiler ile “</w:t>
      </w:r>
      <w:r w:rsidRPr="00067AF8">
        <w:t xml:space="preserve">31 Aralık 2025 günü sonuna kadar verilmesi gereken 2024 hesap dönemine ilişkin Yerel Asgari Tamamlayıcı Kurumlar Vergisi beyannamelerinin verilme süreleri ile bu beyannameler üzerine tahakkuk eden vergilerin ödeme süreleri </w:t>
      </w:r>
      <w:r w:rsidRPr="00067AF8">
        <w:rPr>
          <w:b/>
          <w:bCs/>
        </w:rPr>
        <w:t>15 Ocak 2026 Perşembe günü sonuna kadar uzatılmıştır.</w:t>
      </w:r>
      <w:r>
        <w:t>”</w:t>
      </w:r>
    </w:p>
    <w:p w14:paraId="7F0B5590" w14:textId="77777777" w:rsidR="003926A2" w:rsidRDefault="003926A2">
      <w:pPr>
        <w:rPr>
          <w:b/>
          <w:bCs/>
          <w:sz w:val="26"/>
          <w:szCs w:val="26"/>
        </w:rPr>
      </w:pPr>
    </w:p>
    <w:p w14:paraId="39EC4BC7" w14:textId="7E84E97C" w:rsidR="00653316" w:rsidRDefault="00653316" w:rsidP="00653316">
      <w:pPr>
        <w:jc w:val="both"/>
        <w:rPr>
          <w:b/>
          <w:bCs/>
          <w:sz w:val="26"/>
          <w:szCs w:val="26"/>
        </w:rPr>
      </w:pPr>
      <w:r>
        <w:rPr>
          <w:b/>
          <w:bCs/>
          <w:sz w:val="26"/>
          <w:szCs w:val="26"/>
        </w:rPr>
        <w:t>III- TCMB TARAFINDAN YAYIMLANAN “</w:t>
      </w:r>
      <w:r w:rsidRPr="00653316">
        <w:rPr>
          <w:b/>
          <w:bCs/>
          <w:sz w:val="26"/>
          <w:szCs w:val="26"/>
        </w:rPr>
        <w:t>FİRMALARIN YURT DIŞI KAYNAKLI DÖVİZLERİNİN TÜRK LİRASINA DÖNÜŞÜMÜNÜN DESTEKLENMESİ HAKKINDA TEBLİĞE İLİŞKİN UYGULAMA TALİMATI</w:t>
      </w:r>
      <w:r>
        <w:rPr>
          <w:b/>
          <w:bCs/>
          <w:sz w:val="26"/>
          <w:szCs w:val="26"/>
        </w:rPr>
        <w:t>”NDA DEĞİŞİKLİK YAPILMIŞTIR</w:t>
      </w:r>
    </w:p>
    <w:p w14:paraId="74A9C445" w14:textId="2692203B" w:rsidR="005005D1" w:rsidRDefault="00653316" w:rsidP="00653316">
      <w:pPr>
        <w:jc w:val="both"/>
        <w:rPr>
          <w:sz w:val="26"/>
          <w:szCs w:val="26"/>
        </w:rPr>
      </w:pPr>
      <w:r w:rsidRPr="00653316">
        <w:rPr>
          <w:sz w:val="26"/>
          <w:szCs w:val="26"/>
        </w:rPr>
        <w:t xml:space="preserve">08 Aralık 2025 tarihinde yayımlanan Firmaların Yurt Dışı Kaynaklı Dövizlerinin Türk </w:t>
      </w:r>
      <w:proofErr w:type="gramStart"/>
      <w:r w:rsidRPr="00653316">
        <w:rPr>
          <w:sz w:val="26"/>
          <w:szCs w:val="26"/>
        </w:rPr>
        <w:t>Lirasına</w:t>
      </w:r>
      <w:proofErr w:type="gramEnd"/>
      <w:r w:rsidRPr="00653316">
        <w:rPr>
          <w:sz w:val="26"/>
          <w:szCs w:val="26"/>
        </w:rPr>
        <w:t xml:space="preserve"> Dönüşümünün Desteklenmesi Hakkında Tebliğe İlişkin Uygulama </w:t>
      </w:r>
      <w:proofErr w:type="spellStart"/>
      <w:r w:rsidRPr="00653316">
        <w:rPr>
          <w:sz w:val="26"/>
          <w:szCs w:val="26"/>
        </w:rPr>
        <w:t>Talimatı</w:t>
      </w:r>
      <w:r>
        <w:rPr>
          <w:sz w:val="26"/>
          <w:szCs w:val="26"/>
        </w:rPr>
        <w:t>’ndaki</w:t>
      </w:r>
      <w:proofErr w:type="spellEnd"/>
      <w:r>
        <w:rPr>
          <w:sz w:val="26"/>
          <w:szCs w:val="26"/>
        </w:rPr>
        <w:t xml:space="preserve"> değişiklikler ile </w:t>
      </w:r>
      <w:r w:rsidRPr="00653316">
        <w:rPr>
          <w:sz w:val="26"/>
          <w:szCs w:val="26"/>
        </w:rPr>
        <w:t xml:space="preserve">2023/5 sayılı Firmaların Yurt Dışı Kaynaklı Dövizlerinin Türk </w:t>
      </w:r>
      <w:proofErr w:type="gramStart"/>
      <w:r w:rsidRPr="00653316">
        <w:rPr>
          <w:sz w:val="26"/>
          <w:szCs w:val="26"/>
        </w:rPr>
        <w:t>Lirasına</w:t>
      </w:r>
      <w:proofErr w:type="gramEnd"/>
      <w:r w:rsidRPr="00653316">
        <w:rPr>
          <w:sz w:val="26"/>
          <w:szCs w:val="26"/>
        </w:rPr>
        <w:t xml:space="preserve"> Dönüşümünün Desteklenmesi Hakkında Tebliğe ilişkin uygulama ayrıntıların</w:t>
      </w:r>
      <w:r>
        <w:rPr>
          <w:sz w:val="26"/>
          <w:szCs w:val="26"/>
        </w:rPr>
        <w:t xml:space="preserve">da önemli düzenlemeler yapılmıştır. </w:t>
      </w:r>
    </w:p>
    <w:p w14:paraId="1252C0A6" w14:textId="2894D1AF" w:rsidR="005005D1" w:rsidRDefault="005005D1" w:rsidP="00653316">
      <w:pPr>
        <w:jc w:val="both"/>
        <w:rPr>
          <w:sz w:val="26"/>
          <w:szCs w:val="26"/>
        </w:rPr>
      </w:pPr>
      <w:r>
        <w:rPr>
          <w:sz w:val="26"/>
          <w:szCs w:val="26"/>
        </w:rPr>
        <w:t xml:space="preserve">Yapılan değişiklikler ile yurt dışı kaynaklı hizmet gelirleri için </w:t>
      </w:r>
      <w:r w:rsidRPr="00653316">
        <w:rPr>
          <w:sz w:val="26"/>
          <w:szCs w:val="26"/>
        </w:rPr>
        <w:t>Vergi, Resim ve Harç İstisnası</w:t>
      </w:r>
      <w:r>
        <w:rPr>
          <w:sz w:val="26"/>
          <w:szCs w:val="26"/>
        </w:rPr>
        <w:t xml:space="preserve"> Belgesi (VRHB) alma zorunluluğu getirilmiştir. Ödemeler </w:t>
      </w:r>
      <w:proofErr w:type="spellStart"/>
      <w:r>
        <w:rPr>
          <w:sz w:val="26"/>
          <w:szCs w:val="26"/>
        </w:rPr>
        <w:t>VRHB’de</w:t>
      </w:r>
      <w:proofErr w:type="spellEnd"/>
      <w:r>
        <w:rPr>
          <w:sz w:val="26"/>
          <w:szCs w:val="26"/>
        </w:rPr>
        <w:t xml:space="preserve"> belirtilen faaliyet ve faaliyet tutarı ile sınırlı olacaktır.</w:t>
      </w:r>
    </w:p>
    <w:p w14:paraId="6C37D75B" w14:textId="6D235B4C" w:rsidR="005005D1" w:rsidRDefault="005005D1" w:rsidP="00653316">
      <w:pPr>
        <w:jc w:val="both"/>
        <w:rPr>
          <w:sz w:val="26"/>
          <w:szCs w:val="26"/>
        </w:rPr>
      </w:pPr>
      <w:r>
        <w:rPr>
          <w:sz w:val="26"/>
          <w:szCs w:val="26"/>
        </w:rPr>
        <w:lastRenderedPageBreak/>
        <w:t xml:space="preserve">Düzenlemelerin ayrıntısına </w:t>
      </w:r>
      <w:r w:rsidRPr="00653316">
        <w:rPr>
          <w:sz w:val="26"/>
          <w:szCs w:val="26"/>
        </w:rPr>
        <w:t xml:space="preserve">Firmaların Yurt Dışı Kaynaklı Dövizlerinin Türk </w:t>
      </w:r>
      <w:proofErr w:type="gramStart"/>
      <w:r w:rsidRPr="00653316">
        <w:rPr>
          <w:sz w:val="26"/>
          <w:szCs w:val="26"/>
        </w:rPr>
        <w:t>Lirasına</w:t>
      </w:r>
      <w:proofErr w:type="gramEnd"/>
      <w:r w:rsidRPr="00653316">
        <w:rPr>
          <w:sz w:val="26"/>
          <w:szCs w:val="26"/>
        </w:rPr>
        <w:t xml:space="preserve"> Dönüşümünün Desteklenmesi Hakkında Tebliğe İlişkin Uygulama </w:t>
      </w:r>
      <w:proofErr w:type="spellStart"/>
      <w:r w:rsidRPr="00653316">
        <w:rPr>
          <w:sz w:val="26"/>
          <w:szCs w:val="26"/>
        </w:rPr>
        <w:t>Talimatı</w:t>
      </w:r>
      <w:r>
        <w:rPr>
          <w:sz w:val="26"/>
          <w:szCs w:val="26"/>
        </w:rPr>
        <w:t>’ndan</w:t>
      </w:r>
      <w:proofErr w:type="spellEnd"/>
      <w:r>
        <w:rPr>
          <w:sz w:val="26"/>
          <w:szCs w:val="26"/>
        </w:rPr>
        <w:t xml:space="preserve"> ulaşmak mümkündür.</w:t>
      </w:r>
    </w:p>
    <w:p w14:paraId="41A2C79F" w14:textId="3F6F17D8" w:rsidR="005005D1" w:rsidRPr="00DE4326" w:rsidRDefault="005005D1" w:rsidP="005005D1">
      <w:pPr>
        <w:rPr>
          <w:sz w:val="18"/>
          <w:szCs w:val="18"/>
        </w:rPr>
      </w:pPr>
      <w:r w:rsidRPr="00DE4326">
        <w:rPr>
          <w:sz w:val="18"/>
          <w:szCs w:val="18"/>
        </w:rPr>
        <w:t>(</w:t>
      </w:r>
      <w:hyperlink r:id="rId7" w:history="1">
        <w:r w:rsidRPr="00DE4326">
          <w:rPr>
            <w:rStyle w:val="Kpr"/>
            <w:sz w:val="18"/>
            <w:szCs w:val="18"/>
          </w:rPr>
          <w:t>https://tcmb.gov.tr/wps/wcm/connect/42b92a18-2418-46e3-911c-1cf16f12e8db/D%C3%B6n%C3%BC%C5%9F%C3%BCm%C3%BCn+Desteklenmesi+UT_1332024.pdf?MOD=AJPERES&amp;CACHEID=ROOTWORKSPACE-42b92a18-2418-46e3-911c-1cf16f12e8db-oUZx6IO</w:t>
        </w:r>
      </w:hyperlink>
      <w:r w:rsidRPr="00DE4326">
        <w:rPr>
          <w:sz w:val="18"/>
          <w:szCs w:val="18"/>
        </w:rPr>
        <w:t>)</w:t>
      </w:r>
    </w:p>
    <w:p w14:paraId="697A6478" w14:textId="77777777" w:rsidR="005005D1" w:rsidRDefault="005005D1" w:rsidP="00653316">
      <w:pPr>
        <w:jc w:val="both"/>
        <w:rPr>
          <w:sz w:val="26"/>
          <w:szCs w:val="26"/>
        </w:rPr>
      </w:pPr>
    </w:p>
    <w:p w14:paraId="31AC0F09" w14:textId="3923EBE2" w:rsidR="00CF2E49" w:rsidRPr="00CF2E49" w:rsidRDefault="00895312">
      <w:pPr>
        <w:rPr>
          <w:b/>
          <w:bCs/>
          <w:sz w:val="26"/>
          <w:szCs w:val="26"/>
        </w:rPr>
      </w:pPr>
      <w:r>
        <w:rPr>
          <w:b/>
          <w:bCs/>
          <w:sz w:val="26"/>
          <w:szCs w:val="26"/>
        </w:rPr>
        <w:t>I</w:t>
      </w:r>
      <w:r w:rsidR="00653316">
        <w:rPr>
          <w:b/>
          <w:bCs/>
          <w:sz w:val="26"/>
          <w:szCs w:val="26"/>
        </w:rPr>
        <w:t>V</w:t>
      </w:r>
      <w:r w:rsidR="00CF2E49" w:rsidRPr="00CF2E49">
        <w:rPr>
          <w:b/>
          <w:bCs/>
          <w:sz w:val="26"/>
          <w:szCs w:val="26"/>
        </w:rPr>
        <w:t xml:space="preserve"> TÜRK TİCARET KANUNU’NUN 376’NCI MADDESİNİN UYGULANMASINA İLİŞKİN USUL VE ESASLAR HAKKINDA TEBLİĞİN GEÇİCİ 1’İNCİ MADDESİNDEKİ SÜRE 01.01.2027 TARİHİNE KADAR UZATILMIŞTIR</w:t>
      </w:r>
    </w:p>
    <w:p w14:paraId="30AEAFC3" w14:textId="182D3B05" w:rsidR="00CF2E49" w:rsidRDefault="00CF2E49" w:rsidP="00CF2E49">
      <w:pPr>
        <w:jc w:val="both"/>
      </w:pPr>
      <w:r>
        <w:t xml:space="preserve">10.12.2025 tarihli ve 33103 sayılı </w:t>
      </w:r>
      <w:proofErr w:type="gramStart"/>
      <w:r>
        <w:t>Resmi</w:t>
      </w:r>
      <w:proofErr w:type="gramEnd"/>
      <w:r>
        <w:t xml:space="preserve"> </w:t>
      </w:r>
      <w:proofErr w:type="spellStart"/>
      <w:r>
        <w:t>Gazete’de</w:t>
      </w:r>
      <w:proofErr w:type="spellEnd"/>
      <w:r>
        <w:t xml:space="preserve"> yayımlanan </w:t>
      </w:r>
      <w:r w:rsidRPr="00CF2E49">
        <w:t>6102 Sayılı Türk Ticaret Kanunu</w:t>
      </w:r>
      <w:r>
        <w:t>’</w:t>
      </w:r>
      <w:r w:rsidRPr="00CF2E49">
        <w:t>nun 376</w:t>
      </w:r>
      <w:r>
        <w:t>’n</w:t>
      </w:r>
      <w:r w:rsidRPr="00CF2E49">
        <w:t>cı Maddesinin</w:t>
      </w:r>
      <w:r>
        <w:t xml:space="preserve"> </w:t>
      </w:r>
      <w:r w:rsidRPr="00CF2E49">
        <w:t xml:space="preserve">Uygulanmasına İlişkin Usul </w:t>
      </w:r>
      <w:r>
        <w:t>v</w:t>
      </w:r>
      <w:r w:rsidRPr="00CF2E49">
        <w:t>e Esaslar</w:t>
      </w:r>
      <w:r>
        <w:t xml:space="preserve"> </w:t>
      </w:r>
      <w:r w:rsidRPr="00CF2E49">
        <w:t>Hakkında Tebliğde Değişiklik</w:t>
      </w:r>
      <w:r>
        <w:t xml:space="preserve"> </w:t>
      </w:r>
      <w:r w:rsidRPr="00CF2E49">
        <w:t>Yapılmasına Dair Tebliğ</w:t>
      </w:r>
      <w:r>
        <w:t xml:space="preserve"> ile </w:t>
      </w:r>
      <w:r w:rsidRPr="00CF2E49">
        <w:t>15</w:t>
      </w:r>
      <w:r>
        <w:t xml:space="preserve"> Eylül </w:t>
      </w:r>
      <w:r w:rsidRPr="00CF2E49">
        <w:t xml:space="preserve">2018 tarihli ve 30536 sayılı Resmî </w:t>
      </w:r>
      <w:proofErr w:type="spellStart"/>
      <w:r w:rsidRPr="00CF2E49">
        <w:t>Gazete’de</w:t>
      </w:r>
      <w:proofErr w:type="spellEnd"/>
      <w:r w:rsidRPr="00CF2E49">
        <w:t xml:space="preserve"> yayımlanan 6102 Sayılı Türk Ticaret Kanunu</w:t>
      </w:r>
      <w:r>
        <w:t>’</w:t>
      </w:r>
      <w:r w:rsidRPr="00CF2E49">
        <w:t>nun 376</w:t>
      </w:r>
      <w:r>
        <w:t>’</w:t>
      </w:r>
      <w:r w:rsidRPr="00CF2E49">
        <w:t>ncı Maddesinin Uygulanmasına İlişkin Usul ve Esaslar Hakkında Tebliğin geçici 1</w:t>
      </w:r>
      <w:r>
        <w:t>’</w:t>
      </w:r>
      <w:r w:rsidRPr="00CF2E49">
        <w:t>inci maddesinde yer alan “1/1/2026” ibaresi “1/1/2027” şeklinde değiştirilmiştir.</w:t>
      </w:r>
    </w:p>
    <w:p w14:paraId="75117F1F" w14:textId="64A86DA6" w:rsidR="00CF2E49" w:rsidRDefault="00CF2E49">
      <w:r>
        <w:t>Anılan Tebliğ’in geçici 1. maddesinin son hali aşağıdaki gibidir:</w:t>
      </w:r>
    </w:p>
    <w:p w14:paraId="49E3814B" w14:textId="22A80B2F" w:rsidR="00E85604" w:rsidRDefault="00CF2E49" w:rsidP="003926A2">
      <w:pPr>
        <w:shd w:val="clear" w:color="auto" w:fill="F2F2F2" w:themeFill="background1" w:themeFillShade="F2"/>
        <w:jc w:val="both"/>
      </w:pPr>
      <w:r w:rsidRPr="00CF2E49">
        <w:rPr>
          <w:i/>
          <w:iCs/>
          <w:sz w:val="20"/>
          <w:szCs w:val="20"/>
        </w:rPr>
        <w:t>“</w:t>
      </w:r>
      <w:r w:rsidRPr="00CF2E49">
        <w:rPr>
          <w:b/>
          <w:bCs/>
          <w:i/>
          <w:iCs/>
          <w:sz w:val="20"/>
          <w:szCs w:val="20"/>
        </w:rPr>
        <w:t>GEÇİCİ MADDE 1 –</w:t>
      </w:r>
      <w:r w:rsidRPr="00CF2E49">
        <w:rPr>
          <w:i/>
          <w:iCs/>
          <w:sz w:val="20"/>
          <w:szCs w:val="20"/>
        </w:rPr>
        <w:t> (1) </w:t>
      </w:r>
      <w:r w:rsidRPr="00CF2E49">
        <w:rPr>
          <w:b/>
          <w:bCs/>
          <w:i/>
          <w:iCs/>
          <w:sz w:val="20"/>
          <w:szCs w:val="20"/>
        </w:rPr>
        <w:t>1/1/2027</w:t>
      </w:r>
      <w:r w:rsidRPr="00CF2E49">
        <w:rPr>
          <w:i/>
          <w:iCs/>
          <w:sz w:val="20"/>
          <w:szCs w:val="20"/>
        </w:rPr>
        <w:t> tarihine kadar, Kanunun 376’ncı maddesi kapsamında sermaye kaybı veya borca batık olma durumuna ilişkin yapılan hesaplamalarda</w:t>
      </w:r>
      <w:r w:rsidRPr="00CF2E49">
        <w:rPr>
          <w:b/>
          <w:bCs/>
          <w:i/>
          <w:iCs/>
          <w:sz w:val="20"/>
          <w:szCs w:val="20"/>
        </w:rPr>
        <w:t>, henüz ifa edilmemiş yabancı para cinsi yükümlülüklerden doğan kur farkı zararlarının tamamı</w:t>
      </w:r>
      <w:r w:rsidRPr="00CF2E49">
        <w:rPr>
          <w:i/>
          <w:iCs/>
          <w:sz w:val="20"/>
          <w:szCs w:val="20"/>
        </w:rPr>
        <w:t xml:space="preserve"> ile 2020 ve 2021 yıllarında tahakkuk eden kiralamalardan kaynaklanan giderler, amortismanlar ve personel giderlerinin toplamının yarısı </w:t>
      </w:r>
      <w:r w:rsidRPr="00CF2E49">
        <w:rPr>
          <w:b/>
          <w:bCs/>
          <w:i/>
          <w:iCs/>
          <w:sz w:val="20"/>
          <w:szCs w:val="20"/>
        </w:rPr>
        <w:t>dikkate alınmayabilir.</w:t>
      </w:r>
      <w:r w:rsidRPr="00CF2E49">
        <w:rPr>
          <w:i/>
          <w:iCs/>
          <w:sz w:val="20"/>
          <w:szCs w:val="20"/>
        </w:rPr>
        <w:t> Bu tutarların belirlenmesinde mükerrerlik oluşmayacak şekilde hesaplama yapılır. Bu fıkra kapsamında yapılacak hesaplamalara ilişkin olarak 13’üncü madde uyarınca hazırlanan finansal tablolarda herhangi bir kayda yer verilmeyerek, bu durum bilgi mahiyetinde dipnotlarda gösterilir.”</w:t>
      </w:r>
    </w:p>
    <w:sectPr w:rsidR="00E8560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B1B6B" w14:textId="77777777" w:rsidR="00613204" w:rsidRDefault="00613204" w:rsidP="00485B65">
      <w:pPr>
        <w:spacing w:after="0" w:line="240" w:lineRule="auto"/>
      </w:pPr>
      <w:r>
        <w:separator/>
      </w:r>
    </w:p>
  </w:endnote>
  <w:endnote w:type="continuationSeparator" w:id="0">
    <w:p w14:paraId="0FF57B9C" w14:textId="77777777" w:rsidR="00613204" w:rsidRDefault="00613204" w:rsidP="00485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0572F" w14:textId="77777777" w:rsidR="00485B65" w:rsidRDefault="00485B6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98430" w14:textId="77777777" w:rsidR="00485B65" w:rsidRDefault="00485B6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CE968" w14:textId="77777777" w:rsidR="00485B65" w:rsidRDefault="00485B6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EEEEF" w14:textId="77777777" w:rsidR="00613204" w:rsidRDefault="00613204" w:rsidP="00485B65">
      <w:pPr>
        <w:spacing w:after="0" w:line="240" w:lineRule="auto"/>
      </w:pPr>
      <w:r>
        <w:separator/>
      </w:r>
    </w:p>
  </w:footnote>
  <w:footnote w:type="continuationSeparator" w:id="0">
    <w:p w14:paraId="7A587524" w14:textId="77777777" w:rsidR="00613204" w:rsidRDefault="00613204" w:rsidP="00485B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39B42" w14:textId="77777777" w:rsidR="00485B65" w:rsidRDefault="00485B6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MON_1812315451"/>
  <w:bookmarkEnd w:id="0"/>
  <w:p w14:paraId="7F6E479D" w14:textId="32BE522D" w:rsidR="00485B65" w:rsidRDefault="00485B65">
    <w:pPr>
      <w:pStyle w:val="stBilgi"/>
    </w:pPr>
    <w:r w:rsidRPr="00F22779">
      <w:rPr>
        <w:b/>
        <w:bCs/>
      </w:rPr>
      <w:object w:dxaOrig="9072" w:dyaOrig="1927" w14:anchorId="7697A5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5pt;height:96.5pt">
          <v:imagedata r:id="rId1" o:title=""/>
        </v:shape>
        <o:OLEObject Type="Embed" ProgID="Word.Document.12" ShapeID="_x0000_i1025" DrawAspect="Content" ObjectID="_1827046534" r:id="rId2">
          <o:FieldCodes>\s</o:FieldCodes>
        </o:OLEObject>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2AFB0" w14:textId="77777777" w:rsidR="00485B65" w:rsidRDefault="00485B6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604"/>
    <w:rsid w:val="000161A2"/>
    <w:rsid w:val="00067AF8"/>
    <w:rsid w:val="00135718"/>
    <w:rsid w:val="00261832"/>
    <w:rsid w:val="003926A2"/>
    <w:rsid w:val="00485B65"/>
    <w:rsid w:val="004977FD"/>
    <w:rsid w:val="005005D1"/>
    <w:rsid w:val="00613204"/>
    <w:rsid w:val="00653316"/>
    <w:rsid w:val="00674BC5"/>
    <w:rsid w:val="0067511C"/>
    <w:rsid w:val="00794D3A"/>
    <w:rsid w:val="007B624F"/>
    <w:rsid w:val="00895312"/>
    <w:rsid w:val="009B6807"/>
    <w:rsid w:val="00B17C6B"/>
    <w:rsid w:val="00C23507"/>
    <w:rsid w:val="00C51234"/>
    <w:rsid w:val="00C610A6"/>
    <w:rsid w:val="00CF2E49"/>
    <w:rsid w:val="00DE4326"/>
    <w:rsid w:val="00E85604"/>
    <w:rsid w:val="00EC7009"/>
    <w:rsid w:val="00F228DA"/>
    <w:rsid w:val="00FF44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D910C"/>
  <w15:chartTrackingRefBased/>
  <w15:docId w15:val="{57F2BA57-9CCD-4142-BB17-EB2705052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856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E856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E85604"/>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E85604"/>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E85604"/>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E8560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8560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8560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8560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85604"/>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E85604"/>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E85604"/>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E85604"/>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E85604"/>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E8560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8560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8560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85604"/>
    <w:rPr>
      <w:rFonts w:eastAsiaTheme="majorEastAsia" w:cstheme="majorBidi"/>
      <w:color w:val="272727" w:themeColor="text1" w:themeTint="D8"/>
    </w:rPr>
  </w:style>
  <w:style w:type="paragraph" w:styleId="KonuBal">
    <w:name w:val="Title"/>
    <w:basedOn w:val="Normal"/>
    <w:next w:val="Normal"/>
    <w:link w:val="KonuBalChar"/>
    <w:uiPriority w:val="10"/>
    <w:qFormat/>
    <w:rsid w:val="00E856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8560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8560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8560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8560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85604"/>
    <w:rPr>
      <w:i/>
      <w:iCs/>
      <w:color w:val="404040" w:themeColor="text1" w:themeTint="BF"/>
    </w:rPr>
  </w:style>
  <w:style w:type="paragraph" w:styleId="ListeParagraf">
    <w:name w:val="List Paragraph"/>
    <w:basedOn w:val="Normal"/>
    <w:uiPriority w:val="34"/>
    <w:qFormat/>
    <w:rsid w:val="00E85604"/>
    <w:pPr>
      <w:ind w:left="720"/>
      <w:contextualSpacing/>
    </w:pPr>
  </w:style>
  <w:style w:type="character" w:styleId="GlVurgulama">
    <w:name w:val="Intense Emphasis"/>
    <w:basedOn w:val="VarsaylanParagrafYazTipi"/>
    <w:uiPriority w:val="21"/>
    <w:qFormat/>
    <w:rsid w:val="00E85604"/>
    <w:rPr>
      <w:i/>
      <w:iCs/>
      <w:color w:val="2F5496" w:themeColor="accent1" w:themeShade="BF"/>
    </w:rPr>
  </w:style>
  <w:style w:type="paragraph" w:styleId="GlAlnt">
    <w:name w:val="Intense Quote"/>
    <w:basedOn w:val="Normal"/>
    <w:next w:val="Normal"/>
    <w:link w:val="GlAlntChar"/>
    <w:uiPriority w:val="30"/>
    <w:qFormat/>
    <w:rsid w:val="00E856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E85604"/>
    <w:rPr>
      <w:i/>
      <w:iCs/>
      <w:color w:val="2F5496" w:themeColor="accent1" w:themeShade="BF"/>
    </w:rPr>
  </w:style>
  <w:style w:type="character" w:styleId="GlBavuru">
    <w:name w:val="Intense Reference"/>
    <w:basedOn w:val="VarsaylanParagrafYazTipi"/>
    <w:uiPriority w:val="32"/>
    <w:qFormat/>
    <w:rsid w:val="00E85604"/>
    <w:rPr>
      <w:b/>
      <w:bCs/>
      <w:smallCaps/>
      <w:color w:val="2F5496" w:themeColor="accent1" w:themeShade="BF"/>
      <w:spacing w:val="5"/>
    </w:rPr>
  </w:style>
  <w:style w:type="paragraph" w:styleId="stBilgi">
    <w:name w:val="header"/>
    <w:basedOn w:val="Normal"/>
    <w:link w:val="stBilgiChar"/>
    <w:uiPriority w:val="99"/>
    <w:unhideWhenUsed/>
    <w:rsid w:val="00E8560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85604"/>
  </w:style>
  <w:style w:type="character" w:styleId="Kpr">
    <w:name w:val="Hyperlink"/>
    <w:basedOn w:val="VarsaylanParagrafYazTipi"/>
    <w:uiPriority w:val="99"/>
    <w:unhideWhenUsed/>
    <w:rsid w:val="0067511C"/>
    <w:rPr>
      <w:color w:val="0563C1" w:themeColor="hyperlink"/>
      <w:u w:val="single"/>
    </w:rPr>
  </w:style>
  <w:style w:type="character" w:styleId="zmlenmeyenBahsetme">
    <w:name w:val="Unresolved Mention"/>
    <w:basedOn w:val="VarsaylanParagrafYazTipi"/>
    <w:uiPriority w:val="99"/>
    <w:semiHidden/>
    <w:unhideWhenUsed/>
    <w:rsid w:val="0067511C"/>
    <w:rPr>
      <w:color w:val="605E5C"/>
      <w:shd w:val="clear" w:color="auto" w:fill="E1DFDD"/>
    </w:rPr>
  </w:style>
  <w:style w:type="paragraph" w:styleId="AltBilgi">
    <w:name w:val="footer"/>
    <w:basedOn w:val="Normal"/>
    <w:link w:val="AltBilgiChar"/>
    <w:uiPriority w:val="99"/>
    <w:unhideWhenUsed/>
    <w:rsid w:val="00485B6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85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tcmb.gov.tr/wps/wcm/connect/42b92a18-2418-46e3-911c-1cf16f12e8db/D%C3%B6n%C3%BC%C5%9F%C3%BCm%C3%BCn+Desteklenmesi+UT_1332024.pdf?MOD=AJPERES&amp;CACHEID=ROOTWORKSPACE-42b92a18-2418-46e3-911c-1cf16f12e8db-oUZx6IO"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smigazete.gov.tr/eskiler/2025/11/20251128-3.htm"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452</Words>
  <Characters>3583</Characters>
  <Application>Microsoft Office Word</Application>
  <DocSecurity>0</DocSecurity>
  <Lines>57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Tuncay KAPUSUZOGLU</dc:creator>
  <cp:keywords/>
  <dc:description/>
  <cp:lastModifiedBy>Devrim ATATAŞ</cp:lastModifiedBy>
  <cp:revision>12</cp:revision>
  <dcterms:created xsi:type="dcterms:W3CDTF">2025-11-28T08:54:00Z</dcterms:created>
  <dcterms:modified xsi:type="dcterms:W3CDTF">2025-12-12T09:09:00Z</dcterms:modified>
</cp:coreProperties>
</file>