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3F1C" w14:textId="3EFE3EB0" w:rsidR="0078493D" w:rsidRPr="00D32217" w:rsidRDefault="0078493D" w:rsidP="0078493D">
      <w:pPr>
        <w:pStyle w:val="stBilgi"/>
        <w:jc w:val="center"/>
        <w:rPr>
          <w:b/>
          <w:bCs/>
          <w:sz w:val="32"/>
          <w:szCs w:val="32"/>
        </w:rPr>
      </w:pPr>
      <w:r>
        <w:rPr>
          <w:b/>
          <w:bCs/>
          <w:sz w:val="32"/>
          <w:szCs w:val="32"/>
        </w:rPr>
        <w:t>VERGİ MEVZUATINDAKİ GELİŞMELER 2025/AĞUSTOS-3</w:t>
      </w:r>
    </w:p>
    <w:p w14:paraId="53C4638E" w14:textId="0D417422" w:rsidR="009A77A5" w:rsidRDefault="009A77A5" w:rsidP="009A77A5">
      <w:pPr>
        <w:pStyle w:val="stBilgi"/>
        <w:jc w:val="center"/>
        <w:rPr>
          <w:b/>
          <w:bCs/>
        </w:rPr>
      </w:pPr>
      <w:r w:rsidRPr="00D32217">
        <w:rPr>
          <w:b/>
          <w:bCs/>
        </w:rPr>
        <w:t>(</w:t>
      </w:r>
      <w:r>
        <w:rPr>
          <w:b/>
          <w:bCs/>
        </w:rPr>
        <w:t>23.08.2025</w:t>
      </w:r>
      <w:r w:rsidRPr="00D32217">
        <w:rPr>
          <w:b/>
          <w:bCs/>
        </w:rPr>
        <w:t>)</w:t>
      </w:r>
    </w:p>
    <w:p w14:paraId="5DBEB350" w14:textId="77777777" w:rsidR="009A77A5" w:rsidRDefault="009A77A5" w:rsidP="009A77A5">
      <w:pPr>
        <w:pStyle w:val="stBilgi"/>
        <w:jc w:val="both"/>
        <w:rPr>
          <w:b/>
          <w:bCs/>
        </w:rPr>
      </w:pPr>
    </w:p>
    <w:p w14:paraId="382DB0FB" w14:textId="77777777" w:rsidR="0078493D" w:rsidRDefault="0078493D" w:rsidP="009A77A5">
      <w:pPr>
        <w:pStyle w:val="stBilgi"/>
        <w:jc w:val="both"/>
        <w:rPr>
          <w:b/>
          <w:bCs/>
        </w:rPr>
      </w:pPr>
    </w:p>
    <w:p w14:paraId="172DBDD2" w14:textId="587C4E11" w:rsidR="009A77A5" w:rsidRPr="009A77A5" w:rsidRDefault="009A77A5" w:rsidP="009A77A5">
      <w:pPr>
        <w:pStyle w:val="stBilgi"/>
        <w:jc w:val="both"/>
        <w:rPr>
          <w:b/>
          <w:bCs/>
          <w:sz w:val="26"/>
          <w:szCs w:val="26"/>
        </w:rPr>
      </w:pPr>
      <w:r w:rsidRPr="009A77A5">
        <w:rPr>
          <w:b/>
          <w:bCs/>
          <w:sz w:val="26"/>
          <w:szCs w:val="26"/>
        </w:rPr>
        <w:t>I- MEVDUAT VE KATILMA HESAPLARINA DÖNÜŞÜMÜN DESTEKLENMESİ KAPSAMINDA HESAP AÇILMASINA SON VERİLMİŞTİR</w:t>
      </w:r>
    </w:p>
    <w:p w14:paraId="04735B25" w14:textId="77777777" w:rsidR="009A77A5" w:rsidRDefault="009A77A5" w:rsidP="009A77A5">
      <w:pPr>
        <w:pStyle w:val="stBilgi"/>
        <w:jc w:val="both"/>
        <w:rPr>
          <w:b/>
          <w:bCs/>
        </w:rPr>
      </w:pPr>
    </w:p>
    <w:p w14:paraId="302C1C9F" w14:textId="77777777" w:rsidR="009A77A5" w:rsidRDefault="009A77A5" w:rsidP="009A77A5">
      <w:pPr>
        <w:pStyle w:val="stBilgi"/>
        <w:jc w:val="center"/>
        <w:rPr>
          <w:b/>
          <w:bCs/>
        </w:rPr>
      </w:pPr>
    </w:p>
    <w:p w14:paraId="67F3D275" w14:textId="1CA63F5D" w:rsidR="00C23507" w:rsidRDefault="009A77A5">
      <w:r>
        <w:t xml:space="preserve">23 Ağustos 2025 tarihli ve 32995 sayılı </w:t>
      </w:r>
      <w:proofErr w:type="gramStart"/>
      <w:r>
        <w:t>Resmi</w:t>
      </w:r>
      <w:proofErr w:type="gramEnd"/>
      <w:r>
        <w:t xml:space="preserve"> </w:t>
      </w:r>
      <w:proofErr w:type="spellStart"/>
      <w:r>
        <w:t>Gazete’de</w:t>
      </w:r>
      <w:proofErr w:type="spellEnd"/>
      <w:r>
        <w:t xml:space="preserve"> yayımlanan Merkez Bankası Tebliğleri ile mevduat ve katılma hesaplarına dönüşümün desteklenmesi kapsamında hesap açılmasına son verilmiştir. Yapılan düzenlemeler aşağıdaki gibidir:</w:t>
      </w:r>
    </w:p>
    <w:p w14:paraId="105131AE" w14:textId="32D2CA56" w:rsidR="009A77A5" w:rsidRPr="009A77A5" w:rsidRDefault="009A77A5" w:rsidP="009A77A5">
      <w:r w:rsidRPr="009A77A5">
        <w:rPr>
          <w:b/>
          <w:bCs/>
        </w:rPr>
        <w:t>a-</w:t>
      </w:r>
      <w:r>
        <w:t xml:space="preserve"> </w:t>
      </w:r>
      <w:r w:rsidRPr="009A77A5">
        <w:t xml:space="preserve">Türk Lirası Mevduat </w:t>
      </w:r>
      <w:r>
        <w:t>v</w:t>
      </w:r>
      <w:r w:rsidRPr="009A77A5">
        <w:t>e Katılma Hesaplarına Dönüşümün</w:t>
      </w:r>
      <w:r>
        <w:t xml:space="preserve"> </w:t>
      </w:r>
      <w:r w:rsidRPr="009A77A5">
        <w:t>Desteklenmesi Hakkında Tebliğ (Sayı: 2021/14)’</w:t>
      </w:r>
      <w:r>
        <w:t>d</w:t>
      </w:r>
      <w:r w:rsidRPr="009A77A5">
        <w:t>e</w:t>
      </w:r>
      <w:r>
        <w:t xml:space="preserve"> </w:t>
      </w:r>
      <w:r w:rsidRPr="009A77A5">
        <w:t>Değişiklik Yapılmasına Dair Tebliğ</w:t>
      </w:r>
      <w:r>
        <w:t xml:space="preserve"> </w:t>
      </w:r>
      <w:r w:rsidRPr="009A77A5">
        <w:t>(Sayı: 2025/20)</w:t>
      </w:r>
      <w:r>
        <w:t xml:space="preserve"> ile </w:t>
      </w:r>
      <w:r w:rsidRPr="009A77A5">
        <w:t xml:space="preserve">21/12/2021 tarihli ve 31696 mükerrer sayılı Resmî </w:t>
      </w:r>
      <w:proofErr w:type="spellStart"/>
      <w:r w:rsidRPr="009A77A5">
        <w:t>Gazete’de</w:t>
      </w:r>
      <w:proofErr w:type="spellEnd"/>
      <w:r w:rsidRPr="009A77A5">
        <w:t xml:space="preserve"> yayımlanan </w:t>
      </w:r>
      <w:r w:rsidRPr="009A77A5">
        <w:rPr>
          <w:b/>
          <w:bCs/>
        </w:rPr>
        <w:t>Türk Lirası Mevduat ve Katılma Hesaplarına Dönüşümün Desteklenmesi</w:t>
      </w:r>
      <w:r w:rsidRPr="009A77A5">
        <w:t xml:space="preserve"> Hakkında Tebliğ (Sayı: 2021/14)’e aşağıdaki geçici madde eklenmiştir.</w:t>
      </w:r>
    </w:p>
    <w:p w14:paraId="15EB8BF9" w14:textId="77777777" w:rsidR="009A77A5" w:rsidRPr="009A77A5" w:rsidRDefault="009A77A5" w:rsidP="009A77A5">
      <w:pPr>
        <w:shd w:val="clear" w:color="auto" w:fill="F2F2F2" w:themeFill="background1" w:themeFillShade="F2"/>
        <w:rPr>
          <w:i/>
          <w:iCs/>
          <w:sz w:val="20"/>
          <w:szCs w:val="20"/>
        </w:rPr>
      </w:pPr>
      <w:r w:rsidRPr="009A77A5">
        <w:rPr>
          <w:i/>
          <w:iCs/>
          <w:sz w:val="20"/>
          <w:szCs w:val="20"/>
        </w:rPr>
        <w:t>“GEÇİCİ MADDE 1- (1) 23/8/2025 tarihinden itibaren (bu tarih dahil), bu Tebliğ kapsamında hesap açılmaz, açılmış hesaplar yenilenmez.”</w:t>
      </w:r>
    </w:p>
    <w:p w14:paraId="07BBB20C" w14:textId="77777777" w:rsidR="009A77A5" w:rsidRPr="009A77A5" w:rsidRDefault="009A77A5" w:rsidP="009A77A5">
      <w:r w:rsidRPr="009A77A5">
        <w:rPr>
          <w:b/>
          <w:bCs/>
        </w:rPr>
        <w:t>b-</w:t>
      </w:r>
      <w:r>
        <w:t xml:space="preserve"> </w:t>
      </w:r>
      <w:r w:rsidRPr="009A77A5">
        <w:t xml:space="preserve">Altın Hesaplarından Türk Lirası Mevduat </w:t>
      </w:r>
      <w:r>
        <w:t>v</w:t>
      </w:r>
      <w:r w:rsidRPr="009A77A5">
        <w:t>e Katılma</w:t>
      </w:r>
      <w:r>
        <w:t xml:space="preserve"> </w:t>
      </w:r>
      <w:r w:rsidRPr="009A77A5">
        <w:t>Hesaplarına Dönüşümün Desteklenmesi Hakkında Tebliğ</w:t>
      </w:r>
      <w:r>
        <w:t xml:space="preserve"> </w:t>
      </w:r>
      <w:r w:rsidRPr="009A77A5">
        <w:t>(Sayı: 2021/16)’</w:t>
      </w:r>
      <w:r>
        <w:t>d</w:t>
      </w:r>
      <w:r w:rsidRPr="009A77A5">
        <w:t>e Değişiklik Yapılmasına Dair Tebliğ</w:t>
      </w:r>
      <w:r>
        <w:t xml:space="preserve"> </w:t>
      </w:r>
      <w:r w:rsidRPr="009A77A5">
        <w:t>(Sayı: 2025/21)</w:t>
      </w:r>
      <w:r>
        <w:t xml:space="preserve"> ile </w:t>
      </w:r>
      <w:r w:rsidRPr="009A77A5">
        <w:t xml:space="preserve">29/12/2021 tarihli ve 31704 sayılı Resmî </w:t>
      </w:r>
      <w:proofErr w:type="spellStart"/>
      <w:r w:rsidRPr="009A77A5">
        <w:t>Gazete’de</w:t>
      </w:r>
      <w:proofErr w:type="spellEnd"/>
      <w:r w:rsidRPr="009A77A5">
        <w:t xml:space="preserve"> yayımlanan </w:t>
      </w:r>
      <w:r w:rsidRPr="009A77A5">
        <w:rPr>
          <w:b/>
          <w:bCs/>
        </w:rPr>
        <w:t>Altın Hesaplarından Türk Lirası Mevduat ve Katılma Hesaplarına Dönüşümün Desteklenmesi</w:t>
      </w:r>
      <w:r w:rsidRPr="009A77A5">
        <w:t xml:space="preserve"> Hakkında Tebliğ (Sayı: 2021/16)’e aşağıdaki geçici madde eklenmiştir.</w:t>
      </w:r>
    </w:p>
    <w:p w14:paraId="46AA1DFF" w14:textId="77777777" w:rsidR="009A77A5" w:rsidRPr="009A77A5" w:rsidRDefault="009A77A5" w:rsidP="009A77A5">
      <w:pPr>
        <w:shd w:val="clear" w:color="auto" w:fill="F2F2F2" w:themeFill="background1" w:themeFillShade="F2"/>
        <w:rPr>
          <w:i/>
          <w:iCs/>
          <w:sz w:val="20"/>
          <w:szCs w:val="20"/>
        </w:rPr>
      </w:pPr>
      <w:r w:rsidRPr="009A77A5">
        <w:rPr>
          <w:i/>
          <w:iCs/>
          <w:sz w:val="20"/>
          <w:szCs w:val="20"/>
        </w:rPr>
        <w:t>“GEÇİCİ MADDE 1- (1) 23/8/2025 tarihinden itibaren (bu tarih dahil), bu Tebliğ kapsamında hesap açılmaz, açılmış hesaplar yenilenmez.”</w:t>
      </w:r>
    </w:p>
    <w:p w14:paraId="563E9B9D" w14:textId="5D40B292" w:rsidR="00054166" w:rsidRPr="00054166" w:rsidRDefault="009A77A5" w:rsidP="00054166">
      <w:pPr>
        <w:spacing w:after="0" w:line="240" w:lineRule="auto"/>
      </w:pPr>
      <w:r w:rsidRPr="009A77A5">
        <w:rPr>
          <w:b/>
          <w:bCs/>
        </w:rPr>
        <w:t xml:space="preserve">c- </w:t>
      </w:r>
      <w:r w:rsidR="00054166" w:rsidRPr="00054166">
        <w:t>Altın Cinsinden Fiziki Varlıkların Finansal Sisteme</w:t>
      </w:r>
      <w:r w:rsidR="00054166">
        <w:t xml:space="preserve"> </w:t>
      </w:r>
      <w:r w:rsidR="00054166" w:rsidRPr="00054166">
        <w:t>Kazandırılması Hakkında Tebliğ (Sayı: 2022/11)’</w:t>
      </w:r>
      <w:r w:rsidR="00054166">
        <w:t>d</w:t>
      </w:r>
      <w:r w:rsidR="00054166" w:rsidRPr="00054166">
        <w:t>e</w:t>
      </w:r>
    </w:p>
    <w:p w14:paraId="643DC442" w14:textId="77777777" w:rsidR="00054166" w:rsidRDefault="00054166" w:rsidP="00054166">
      <w:pPr>
        <w:spacing w:after="0" w:line="240" w:lineRule="auto"/>
      </w:pPr>
      <w:r w:rsidRPr="00054166">
        <w:t>Değişiklik Yapılmasına Dair Tebliğ</w:t>
      </w:r>
      <w:r>
        <w:t xml:space="preserve"> </w:t>
      </w:r>
      <w:r w:rsidRPr="00054166">
        <w:t>(Sayı: 2025/22)</w:t>
      </w:r>
      <w:r>
        <w:t xml:space="preserve"> ile </w:t>
      </w:r>
      <w:r w:rsidRPr="00054166">
        <w:t xml:space="preserve">14/3/2022 tarihli ve 31778 sayılı Resmî </w:t>
      </w:r>
      <w:proofErr w:type="spellStart"/>
      <w:r w:rsidRPr="00054166">
        <w:t>Gazete’de</w:t>
      </w:r>
      <w:proofErr w:type="spellEnd"/>
      <w:r w:rsidRPr="00054166">
        <w:t xml:space="preserve"> yayımlanan </w:t>
      </w:r>
      <w:r w:rsidRPr="00054166">
        <w:rPr>
          <w:b/>
          <w:bCs/>
        </w:rPr>
        <w:t>Altın Cinsinden Fiziki Varlıkların Finansal Sisteme Kazandırılması</w:t>
      </w:r>
      <w:r w:rsidRPr="00054166">
        <w:t xml:space="preserve"> Hakkında Tebliğ (Sayı: 2022/11)’e aşağıdaki geçici madde eklenmiştir.</w:t>
      </w:r>
    </w:p>
    <w:p w14:paraId="0DEA93E8" w14:textId="77777777" w:rsidR="00054166" w:rsidRPr="00054166" w:rsidRDefault="00054166" w:rsidP="00054166">
      <w:pPr>
        <w:spacing w:after="0" w:line="240" w:lineRule="auto"/>
      </w:pPr>
    </w:p>
    <w:p w14:paraId="309EF351" w14:textId="77777777" w:rsidR="00054166" w:rsidRPr="00054166" w:rsidRDefault="00054166" w:rsidP="00054166">
      <w:pPr>
        <w:shd w:val="clear" w:color="auto" w:fill="F2F2F2" w:themeFill="background1" w:themeFillShade="F2"/>
        <w:spacing w:after="0" w:line="240" w:lineRule="auto"/>
        <w:rPr>
          <w:i/>
          <w:iCs/>
          <w:sz w:val="20"/>
          <w:szCs w:val="20"/>
        </w:rPr>
      </w:pPr>
      <w:r w:rsidRPr="00054166">
        <w:rPr>
          <w:i/>
          <w:iCs/>
          <w:sz w:val="20"/>
          <w:szCs w:val="20"/>
        </w:rPr>
        <w:t>“GEÇİCİ MADDE 1- (1) 23/8/2025 tarihinden itibaren (bu tarih dahil), bu Tebliğ kapsamında hesap açılmaz, açılmış hesaplar yenilenmez.”</w:t>
      </w:r>
    </w:p>
    <w:p w14:paraId="73BA44D8" w14:textId="5CE92E02" w:rsidR="00054166" w:rsidRPr="00054166" w:rsidRDefault="00054166" w:rsidP="00054166">
      <w:pPr>
        <w:spacing w:after="0" w:line="240" w:lineRule="auto"/>
      </w:pPr>
    </w:p>
    <w:p w14:paraId="0334B946" w14:textId="1B646D9E" w:rsidR="009A77A5" w:rsidRDefault="00054166" w:rsidP="009A77A5">
      <w:r w:rsidRPr="00054166">
        <w:t>Söz konusu değişiklikler, yayım tarihi olan 23.08.2025 tarihinde yürürlüğe girmiştir.</w:t>
      </w:r>
    </w:p>
    <w:p w14:paraId="58174B1D" w14:textId="77777777" w:rsidR="00054166" w:rsidRPr="009A77A5" w:rsidRDefault="00054166" w:rsidP="009A77A5"/>
    <w:p w14:paraId="2702E75B" w14:textId="38767962" w:rsidR="009A77A5" w:rsidRPr="00F41C77" w:rsidRDefault="002B1B53" w:rsidP="009A77A5">
      <w:pPr>
        <w:rPr>
          <w:b/>
          <w:bCs/>
          <w:sz w:val="26"/>
          <w:szCs w:val="26"/>
        </w:rPr>
      </w:pPr>
      <w:r w:rsidRPr="00F41C77">
        <w:rPr>
          <w:b/>
          <w:bCs/>
          <w:sz w:val="26"/>
          <w:szCs w:val="26"/>
        </w:rPr>
        <w:t>II- İHRACATÇILARA HUSUSİ DAMGALI PASAPORT VERİLMESİNE İLİŞKİN ESASLAR HAKKINDA KARARDA DEĞİŞİKLİK YAPILMIŞTIR</w:t>
      </w:r>
    </w:p>
    <w:p w14:paraId="34176C48" w14:textId="3AD2DFF1" w:rsidR="002B1B53" w:rsidRDefault="002B1B53" w:rsidP="007C75C7">
      <w:pPr>
        <w:jc w:val="both"/>
      </w:pPr>
      <w:r>
        <w:t xml:space="preserve">27 Ağustos 2025 tarihli ve 32999 sayılı Resmi </w:t>
      </w:r>
      <w:proofErr w:type="spellStart"/>
      <w:r>
        <w:t>Gazete’de</w:t>
      </w:r>
      <w:proofErr w:type="spellEnd"/>
      <w:r>
        <w:t xml:space="preserve"> yayımlanan 10259 sayılı Cumhurbaşkanı Kararı ile İhracatçılara Hususi Damgalı Pasaport Verilmesine İlişkin Esaslar Hakkında Kararda değişiklik yapılmıştır. Değişiklik sonrasında ilgili 10. madde aynen aşağıdaki gibi olmuştur:</w:t>
      </w:r>
    </w:p>
    <w:p w14:paraId="5D2DEE08" w14:textId="5473B5E2" w:rsidR="002B1B53" w:rsidRPr="002B1B53" w:rsidRDefault="002B1B53" w:rsidP="002B1B53">
      <w:pPr>
        <w:shd w:val="clear" w:color="auto" w:fill="F2F2F2" w:themeFill="background1" w:themeFillShade="F2"/>
        <w:jc w:val="both"/>
        <w:rPr>
          <w:i/>
          <w:iCs/>
          <w:sz w:val="20"/>
          <w:szCs w:val="20"/>
        </w:rPr>
      </w:pPr>
      <w:r w:rsidRPr="002B1B53">
        <w:rPr>
          <w:i/>
          <w:iCs/>
          <w:sz w:val="20"/>
          <w:szCs w:val="20"/>
        </w:rPr>
        <w:lastRenderedPageBreak/>
        <w:t>“MADDE 10- (1) Hususi damgalı pasaport alan firma yetkilileri, pasaportun geçerlilik süresi içerisinde hususi damgalı pasaport alabilme şartlarından herhangi birini kaybetmeleri halinde pasaportunu derhal iade etmekle yükümlüdür. Bu durum, firma tarafından formu onaylayan bölge müdürlüğüne, bölge müdürlüğünce de derhal pasaportu veren il nüfus ve vatandaşlık müdürlüğüne bildirilir ve pasaport bu il nüfus ve vatandaşlık müdürlüğünce iptal edilir.</w:t>
      </w:r>
    </w:p>
    <w:p w14:paraId="461180CC" w14:textId="127D51F1" w:rsidR="002B1B53" w:rsidRPr="002B1B53" w:rsidRDefault="002B1B53" w:rsidP="002B1B53">
      <w:pPr>
        <w:shd w:val="clear" w:color="auto" w:fill="F2F2F2" w:themeFill="background1" w:themeFillShade="F2"/>
        <w:jc w:val="both"/>
        <w:rPr>
          <w:i/>
          <w:iCs/>
          <w:sz w:val="20"/>
          <w:szCs w:val="20"/>
        </w:rPr>
      </w:pPr>
      <w:r w:rsidRPr="002B1B53">
        <w:rPr>
          <w:i/>
          <w:iCs/>
          <w:sz w:val="20"/>
          <w:szCs w:val="20"/>
        </w:rPr>
        <w:t>(2) İade yükümlülüğünü yerine getirmediği tespit edilen pasaport sahibi firma yetkilisinin 5682 sayılı Pasaport Kanunu’nun 14’üncü maddesinin (A) bendinin dördüncü ve yedinci paragraflarında belirtilen suçlardan mahkûm olması veya 4’üncü maddede belirtilen koşulların ihlali nedeniyle pasaport alabilme şartını kaybetmesi halinde, firma yetkilisine ve bildirim yükümlülüğünü yerine getirmediği tespit edilen firmanın diğer yetkililerine dört yıl müddetle hususi damgalı pasaport verilmez.</w:t>
      </w:r>
    </w:p>
    <w:p w14:paraId="2886EE6C" w14:textId="67501525" w:rsidR="002B1B53" w:rsidRPr="002B1B53" w:rsidRDefault="002B1B53" w:rsidP="002B1B53">
      <w:pPr>
        <w:shd w:val="clear" w:color="auto" w:fill="F2F2F2" w:themeFill="background1" w:themeFillShade="F2"/>
        <w:jc w:val="both"/>
        <w:rPr>
          <w:i/>
          <w:iCs/>
          <w:sz w:val="20"/>
          <w:szCs w:val="20"/>
        </w:rPr>
      </w:pPr>
      <w:r w:rsidRPr="002B1B53">
        <w:rPr>
          <w:i/>
          <w:iCs/>
          <w:sz w:val="20"/>
          <w:szCs w:val="20"/>
        </w:rPr>
        <w:t>(3) İkinci fıkra hükmü saklı kalmak kaydıyla, 7’nci maddede belirtilen firma yetkilisi statüsünün diğer nedenlerle kaybına istinaden doğan iade yükümlülüğünün pasaport sahibi tarafından yerine getirilmemesi halinde, ilgili kişiye dört yıl müddetle hususi damgalı pasaport verilmez.”</w:t>
      </w:r>
    </w:p>
    <w:p w14:paraId="372B3F90" w14:textId="4AEB01C3" w:rsidR="009A77A5" w:rsidRDefault="002B1B53" w:rsidP="002372EB">
      <w:pPr>
        <w:jc w:val="both"/>
      </w:pPr>
      <w:r>
        <w:t xml:space="preserve">Söz konusu 10. maddenin değişiklik öncesi halinde de benzer süreç olmakla birlikte, değişiklik sonrasında madde metnine iade yükümlülüğünü yerine getirmeyen pasaport sahipleri </w:t>
      </w:r>
      <w:r w:rsidR="002372EB">
        <w:t>ilave edilmiş, Pasaport Kanunu’nun 14/A-4 ve 7. maddelerine atıfta bulunulmuştur.</w:t>
      </w:r>
    </w:p>
    <w:p w14:paraId="1F0AB880" w14:textId="77777777" w:rsidR="002B1B53" w:rsidRDefault="002B1B53"/>
    <w:p w14:paraId="096F7F12" w14:textId="77777777" w:rsidR="002B1B53" w:rsidRDefault="002B1B53"/>
    <w:sectPr w:rsidR="002B1B5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6F9C" w14:textId="77777777" w:rsidR="00217235" w:rsidRDefault="00217235" w:rsidP="00711A54">
      <w:pPr>
        <w:spacing w:after="0" w:line="240" w:lineRule="auto"/>
      </w:pPr>
      <w:r>
        <w:separator/>
      </w:r>
    </w:p>
  </w:endnote>
  <w:endnote w:type="continuationSeparator" w:id="0">
    <w:p w14:paraId="431B8E55" w14:textId="77777777" w:rsidR="00217235" w:rsidRDefault="00217235" w:rsidP="0071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4FE9" w14:textId="77777777" w:rsidR="00C32407" w:rsidRDefault="00C3240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544894"/>
      <w:docPartObj>
        <w:docPartGallery w:val="Page Numbers (Bottom of Page)"/>
        <w:docPartUnique/>
      </w:docPartObj>
    </w:sdtPr>
    <w:sdtEndPr/>
    <w:sdtContent>
      <w:p w14:paraId="6B788C39" w14:textId="7747A3FF" w:rsidR="00711A54" w:rsidRDefault="00711A54">
        <w:pPr>
          <w:pStyle w:val="AltBilgi"/>
          <w:jc w:val="right"/>
        </w:pPr>
        <w:r>
          <w:fldChar w:fldCharType="begin"/>
        </w:r>
        <w:r>
          <w:instrText>PAGE   \* MERGEFORMAT</w:instrText>
        </w:r>
        <w:r>
          <w:fldChar w:fldCharType="separate"/>
        </w:r>
        <w:r>
          <w:t>2</w:t>
        </w:r>
        <w:r>
          <w:fldChar w:fldCharType="end"/>
        </w:r>
      </w:p>
    </w:sdtContent>
  </w:sdt>
  <w:p w14:paraId="2117D14E" w14:textId="77777777" w:rsidR="00711A54" w:rsidRDefault="00711A5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90A3" w14:textId="77777777" w:rsidR="00C32407" w:rsidRDefault="00C324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3939" w14:textId="77777777" w:rsidR="00217235" w:rsidRDefault="00217235" w:rsidP="00711A54">
      <w:pPr>
        <w:spacing w:after="0" w:line="240" w:lineRule="auto"/>
      </w:pPr>
      <w:r>
        <w:separator/>
      </w:r>
    </w:p>
  </w:footnote>
  <w:footnote w:type="continuationSeparator" w:id="0">
    <w:p w14:paraId="52DB5499" w14:textId="77777777" w:rsidR="00217235" w:rsidRDefault="00217235" w:rsidP="0071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03E1" w14:textId="77777777" w:rsidR="00C32407" w:rsidRDefault="00C3240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3A37AE68" w14:textId="2738F071" w:rsidR="00C32407" w:rsidRDefault="00C32407">
    <w:pPr>
      <w:pStyle w:val="stBilgi"/>
    </w:pPr>
    <w:r w:rsidRPr="00F22779">
      <w:rPr>
        <w:b/>
        <w:bCs/>
      </w:rPr>
      <w:object w:dxaOrig="9072" w:dyaOrig="1927" w14:anchorId="69316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96.5pt">
          <v:imagedata r:id="rId1" o:title=""/>
        </v:shape>
        <o:OLEObject Type="Embed" ProgID="Word.Document.12" ShapeID="_x0000_i1025" DrawAspect="Content" ObjectID="_1818838891"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F7C3" w14:textId="77777777" w:rsidR="00C32407" w:rsidRDefault="00C3240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A5"/>
    <w:rsid w:val="00054166"/>
    <w:rsid w:val="001E60B1"/>
    <w:rsid w:val="00217235"/>
    <w:rsid w:val="002372EB"/>
    <w:rsid w:val="002B1B53"/>
    <w:rsid w:val="002B7A4D"/>
    <w:rsid w:val="002F4C6F"/>
    <w:rsid w:val="00492577"/>
    <w:rsid w:val="006855D6"/>
    <w:rsid w:val="00711A54"/>
    <w:rsid w:val="00744A57"/>
    <w:rsid w:val="0078493D"/>
    <w:rsid w:val="00794D3A"/>
    <w:rsid w:val="007C75C7"/>
    <w:rsid w:val="0094504F"/>
    <w:rsid w:val="009A77A5"/>
    <w:rsid w:val="009B6807"/>
    <w:rsid w:val="00A76DF4"/>
    <w:rsid w:val="00B2461D"/>
    <w:rsid w:val="00BA0B88"/>
    <w:rsid w:val="00C23507"/>
    <w:rsid w:val="00C32407"/>
    <w:rsid w:val="00F1482E"/>
    <w:rsid w:val="00F41C77"/>
    <w:rsid w:val="00FA15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6321"/>
  <w15:chartTrackingRefBased/>
  <w15:docId w15:val="{58B36B2D-E28E-407F-8F76-88D5DDFA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A77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A77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A77A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A77A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A77A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A77A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A77A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A77A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A77A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A77A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A77A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A77A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A77A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A77A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A77A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A77A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A77A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A77A5"/>
    <w:rPr>
      <w:rFonts w:eastAsiaTheme="majorEastAsia" w:cstheme="majorBidi"/>
      <w:color w:val="272727" w:themeColor="text1" w:themeTint="D8"/>
    </w:rPr>
  </w:style>
  <w:style w:type="paragraph" w:styleId="KonuBal">
    <w:name w:val="Title"/>
    <w:basedOn w:val="Normal"/>
    <w:next w:val="Normal"/>
    <w:link w:val="KonuBalChar"/>
    <w:uiPriority w:val="10"/>
    <w:qFormat/>
    <w:rsid w:val="009A7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A77A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A77A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A77A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A77A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A77A5"/>
    <w:rPr>
      <w:i/>
      <w:iCs/>
      <w:color w:val="404040" w:themeColor="text1" w:themeTint="BF"/>
    </w:rPr>
  </w:style>
  <w:style w:type="paragraph" w:styleId="ListeParagraf">
    <w:name w:val="List Paragraph"/>
    <w:basedOn w:val="Normal"/>
    <w:uiPriority w:val="34"/>
    <w:qFormat/>
    <w:rsid w:val="009A77A5"/>
    <w:pPr>
      <w:ind w:left="720"/>
      <w:contextualSpacing/>
    </w:pPr>
  </w:style>
  <w:style w:type="character" w:styleId="GlVurgulama">
    <w:name w:val="Intense Emphasis"/>
    <w:basedOn w:val="VarsaylanParagrafYazTipi"/>
    <w:uiPriority w:val="21"/>
    <w:qFormat/>
    <w:rsid w:val="009A77A5"/>
    <w:rPr>
      <w:i/>
      <w:iCs/>
      <w:color w:val="2F5496" w:themeColor="accent1" w:themeShade="BF"/>
    </w:rPr>
  </w:style>
  <w:style w:type="paragraph" w:styleId="GlAlnt">
    <w:name w:val="Intense Quote"/>
    <w:basedOn w:val="Normal"/>
    <w:next w:val="Normal"/>
    <w:link w:val="GlAlntChar"/>
    <w:uiPriority w:val="30"/>
    <w:qFormat/>
    <w:rsid w:val="009A7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A77A5"/>
    <w:rPr>
      <w:i/>
      <w:iCs/>
      <w:color w:val="2F5496" w:themeColor="accent1" w:themeShade="BF"/>
    </w:rPr>
  </w:style>
  <w:style w:type="character" w:styleId="GlBavuru">
    <w:name w:val="Intense Reference"/>
    <w:basedOn w:val="VarsaylanParagrafYazTipi"/>
    <w:uiPriority w:val="32"/>
    <w:qFormat/>
    <w:rsid w:val="009A77A5"/>
    <w:rPr>
      <w:b/>
      <w:bCs/>
      <w:smallCaps/>
      <w:color w:val="2F5496" w:themeColor="accent1" w:themeShade="BF"/>
      <w:spacing w:val="5"/>
    </w:rPr>
  </w:style>
  <w:style w:type="paragraph" w:styleId="stBilgi">
    <w:name w:val="header"/>
    <w:basedOn w:val="Normal"/>
    <w:link w:val="stBilgiChar"/>
    <w:uiPriority w:val="99"/>
    <w:unhideWhenUsed/>
    <w:rsid w:val="009A77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77A5"/>
  </w:style>
  <w:style w:type="paragraph" w:styleId="AltBilgi">
    <w:name w:val="footer"/>
    <w:basedOn w:val="Normal"/>
    <w:link w:val="AltBilgiChar"/>
    <w:uiPriority w:val="99"/>
    <w:unhideWhenUsed/>
    <w:rsid w:val="00711A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11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581</Words>
  <Characters>3314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11</cp:revision>
  <dcterms:created xsi:type="dcterms:W3CDTF">2025-08-26T07:38:00Z</dcterms:created>
  <dcterms:modified xsi:type="dcterms:W3CDTF">2025-09-08T09:15:00Z</dcterms:modified>
</cp:coreProperties>
</file>