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57D3" w14:textId="1D513B9D" w:rsidR="000276ED" w:rsidRDefault="000276ED" w:rsidP="000276ED">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ŞUBAT-</w:t>
      </w:r>
      <w:r w:rsidR="001B59D3">
        <w:rPr>
          <w:b/>
          <w:bCs/>
          <w:sz w:val="32"/>
          <w:szCs w:val="32"/>
        </w:rPr>
        <w:t>3</w:t>
      </w:r>
    </w:p>
    <w:p w14:paraId="44AD2F37" w14:textId="77777777" w:rsidR="000276ED" w:rsidRDefault="000276ED" w:rsidP="000276ED">
      <w:pPr>
        <w:spacing w:after="0" w:line="240" w:lineRule="auto"/>
        <w:jc w:val="center"/>
        <w:rPr>
          <w:b/>
          <w:bCs/>
          <w:sz w:val="18"/>
          <w:szCs w:val="18"/>
        </w:rPr>
      </w:pPr>
      <w:r w:rsidRPr="00B54EDB">
        <w:rPr>
          <w:b/>
          <w:bCs/>
          <w:sz w:val="18"/>
          <w:szCs w:val="18"/>
        </w:rPr>
        <w:t>(</w:t>
      </w:r>
      <w:r>
        <w:rPr>
          <w:b/>
          <w:bCs/>
          <w:sz w:val="18"/>
          <w:szCs w:val="18"/>
        </w:rPr>
        <w:t>14.02.2025-15.02.2025</w:t>
      </w:r>
      <w:r w:rsidRPr="00B54EDB">
        <w:rPr>
          <w:b/>
          <w:bCs/>
          <w:sz w:val="18"/>
          <w:szCs w:val="18"/>
        </w:rPr>
        <w:t>)</w:t>
      </w:r>
    </w:p>
    <w:p w14:paraId="6FB04FDE" w14:textId="77777777" w:rsidR="00C23507" w:rsidRDefault="00C23507"/>
    <w:p w14:paraId="1330639E" w14:textId="77777777" w:rsidR="004B0282" w:rsidRDefault="004B0282" w:rsidP="00F27D5D">
      <w:pPr>
        <w:jc w:val="both"/>
        <w:rPr>
          <w:b/>
          <w:bCs/>
          <w:sz w:val="26"/>
          <w:szCs w:val="26"/>
        </w:rPr>
      </w:pPr>
    </w:p>
    <w:p w14:paraId="48B64885" w14:textId="6B756F01" w:rsidR="008B2160" w:rsidRPr="008B2160" w:rsidRDefault="008B2160" w:rsidP="00F27D5D">
      <w:pPr>
        <w:jc w:val="both"/>
        <w:rPr>
          <w:b/>
          <w:bCs/>
          <w:sz w:val="26"/>
          <w:szCs w:val="26"/>
        </w:rPr>
      </w:pPr>
      <w:r w:rsidRPr="008B2160">
        <w:rPr>
          <w:b/>
          <w:bCs/>
          <w:sz w:val="26"/>
          <w:szCs w:val="26"/>
        </w:rPr>
        <w:t>I- 2025 YILINDA GEÇİCİ VERGİ DÖNEMLERİNDE ENFLASYON DÜZELTMESİ YAPILMAYACAKTIR</w:t>
      </w:r>
    </w:p>
    <w:p w14:paraId="650DC673" w14:textId="631FD476" w:rsidR="008B2160" w:rsidRDefault="008B2160" w:rsidP="00E94D3B">
      <w:pPr>
        <w:jc w:val="both"/>
      </w:pPr>
      <w:r>
        <w:t xml:space="preserve">15 Şubat 2025 tarihli ve 32814 sayılı </w:t>
      </w:r>
      <w:proofErr w:type="gramStart"/>
      <w:r>
        <w:t>Resmi</w:t>
      </w:r>
      <w:proofErr w:type="gramEnd"/>
      <w:r>
        <w:t xml:space="preserve"> </w:t>
      </w:r>
      <w:proofErr w:type="spellStart"/>
      <w:r>
        <w:t>Gazete’de</w:t>
      </w:r>
      <w:proofErr w:type="spellEnd"/>
      <w:r>
        <w:t xml:space="preserve"> yayımlanan 582 Sıra </w:t>
      </w:r>
      <w:proofErr w:type="spellStart"/>
      <w:r>
        <w:t>No’lu</w:t>
      </w:r>
      <w:proofErr w:type="spellEnd"/>
      <w:r>
        <w:t xml:space="preserve"> Vergi Usul Kanunu (VUK) Genel Tebliği ile </w:t>
      </w:r>
      <w:r w:rsidRPr="008B2160">
        <w:t>2025 hesap döneminin birinci, ikinci ve üçüncü geçici vergi dönemlerinde kapsam d</w:t>
      </w:r>
      <w:r>
        <w:t>a</w:t>
      </w:r>
      <w:r w:rsidRPr="008B2160">
        <w:t xml:space="preserve">hilindeki mükelleflerin </w:t>
      </w:r>
      <w:r w:rsidRPr="008B2160">
        <w:rPr>
          <w:b/>
          <w:bCs/>
        </w:rPr>
        <w:t>enflasyon düzeltmesi yapmaması</w:t>
      </w:r>
      <w:r w:rsidRPr="008B2160">
        <w:t xml:space="preserve"> uygun bulunmuştur.</w:t>
      </w:r>
    </w:p>
    <w:p w14:paraId="3E38AE14" w14:textId="5AB4EC25" w:rsidR="00692DBD" w:rsidRDefault="00692DBD" w:rsidP="00E94D3B">
      <w:pPr>
        <w:jc w:val="both"/>
      </w:pPr>
      <w:r>
        <w:t xml:space="preserve">Anılan hükmün yer aldığı 582 </w:t>
      </w:r>
      <w:proofErr w:type="spellStart"/>
      <w:r>
        <w:t>No’lu</w:t>
      </w:r>
      <w:proofErr w:type="spellEnd"/>
      <w:r>
        <w:t xml:space="preserve"> VUK Genel Tebliği’nin 3. maddesi aynen aşağıdaki gibidir:</w:t>
      </w:r>
    </w:p>
    <w:p w14:paraId="221CCFAF" w14:textId="21708647" w:rsidR="00692DBD" w:rsidRPr="00692DBD" w:rsidRDefault="00692DBD" w:rsidP="00E94D3B">
      <w:pPr>
        <w:shd w:val="clear" w:color="auto" w:fill="F2F2F2" w:themeFill="background1" w:themeFillShade="F2"/>
        <w:jc w:val="both"/>
        <w:rPr>
          <w:b/>
          <w:bCs/>
          <w:i/>
          <w:iCs/>
          <w:sz w:val="20"/>
          <w:szCs w:val="20"/>
        </w:rPr>
      </w:pPr>
      <w:r w:rsidRPr="00692DBD">
        <w:rPr>
          <w:i/>
          <w:iCs/>
          <w:sz w:val="20"/>
          <w:szCs w:val="20"/>
        </w:rPr>
        <w:t>“</w:t>
      </w:r>
      <w:r w:rsidRPr="00692DBD">
        <w:rPr>
          <w:b/>
          <w:bCs/>
          <w:i/>
          <w:iCs/>
          <w:sz w:val="20"/>
          <w:szCs w:val="20"/>
        </w:rPr>
        <w:t>MADDE 3- </w:t>
      </w:r>
      <w:r w:rsidRPr="00692DBD">
        <w:rPr>
          <w:i/>
          <w:iCs/>
          <w:sz w:val="20"/>
          <w:szCs w:val="20"/>
        </w:rPr>
        <w:t xml:space="preserve">(1) 213 sayılı Kanunun mükerrer 298’inci maddesinin (A) fıkrasının (8) numaralı bendinin (b) alt bendinde yer alan yetkiye dayanılarak, 2025 hesap döneminin birinci, ikinci ve üçüncü geçici vergi dönemlerinde kapsam dâhilindeki mükelleflerin </w:t>
      </w:r>
      <w:r w:rsidRPr="00692DBD">
        <w:rPr>
          <w:b/>
          <w:bCs/>
          <w:i/>
          <w:iCs/>
          <w:sz w:val="20"/>
          <w:szCs w:val="20"/>
        </w:rPr>
        <w:t>enflasyon düzeltmesi yapmaması uygun bulunmuştur.</w:t>
      </w:r>
    </w:p>
    <w:p w14:paraId="46582525" w14:textId="4BB3204F" w:rsidR="00692DBD" w:rsidRPr="00692DBD" w:rsidRDefault="00692DBD" w:rsidP="00692DBD">
      <w:pPr>
        <w:shd w:val="clear" w:color="auto" w:fill="F2F2F2" w:themeFill="background1" w:themeFillShade="F2"/>
        <w:jc w:val="both"/>
        <w:rPr>
          <w:i/>
          <w:iCs/>
          <w:sz w:val="20"/>
          <w:szCs w:val="20"/>
        </w:rPr>
      </w:pPr>
      <w:r w:rsidRPr="00692DBD">
        <w:rPr>
          <w:i/>
          <w:iCs/>
          <w:sz w:val="20"/>
          <w:szCs w:val="20"/>
        </w:rPr>
        <w:t>(2) 213 sayılı Kanunun 174’üncü maddesi kapsamında kendisine özel hesap dönemi tayin edilen mükellefler bakımından, bu Tebliğ uygulamasında, 2025 takvim yılı içinde başlayan hesap dönemine ait geçici vergi dönemleri dikkate alınacaktır.</w:t>
      </w:r>
    </w:p>
    <w:p w14:paraId="3E95DB9A" w14:textId="77777777" w:rsidR="00692DBD" w:rsidRPr="00692DBD" w:rsidRDefault="00692DBD" w:rsidP="00692DBD">
      <w:pPr>
        <w:shd w:val="clear" w:color="auto" w:fill="F2F2F2" w:themeFill="background1" w:themeFillShade="F2"/>
        <w:jc w:val="both"/>
        <w:rPr>
          <w:b/>
          <w:bCs/>
          <w:i/>
          <w:iCs/>
          <w:sz w:val="20"/>
          <w:szCs w:val="20"/>
        </w:rPr>
      </w:pPr>
      <w:r w:rsidRPr="00692DBD">
        <w:rPr>
          <w:i/>
          <w:iCs/>
          <w:sz w:val="20"/>
          <w:szCs w:val="20"/>
        </w:rPr>
        <w:t xml:space="preserve">(3) Birinci fıkra kapsamında enflasyon düzeltmesi yapılmaması uygun bulunan dönemlere ilişkin verilecek </w:t>
      </w:r>
      <w:r w:rsidRPr="00692DBD">
        <w:rPr>
          <w:b/>
          <w:bCs/>
          <w:i/>
          <w:iCs/>
          <w:sz w:val="20"/>
          <w:szCs w:val="20"/>
        </w:rPr>
        <w:t>geçici gelir/kurumlar vergisi beyannamelerinin ekine bilanço eklenmeyecektir.</w:t>
      </w:r>
    </w:p>
    <w:p w14:paraId="161670A6" w14:textId="4FC25BD3" w:rsidR="00692DBD" w:rsidRPr="00692DBD" w:rsidRDefault="00692DBD" w:rsidP="00692DBD">
      <w:pPr>
        <w:shd w:val="clear" w:color="auto" w:fill="F2F2F2" w:themeFill="background1" w:themeFillShade="F2"/>
        <w:jc w:val="both"/>
        <w:rPr>
          <w:b/>
          <w:bCs/>
          <w:i/>
          <w:iCs/>
          <w:sz w:val="20"/>
          <w:szCs w:val="20"/>
        </w:rPr>
      </w:pPr>
      <w:r w:rsidRPr="00692DBD">
        <w:rPr>
          <w:i/>
          <w:iCs/>
          <w:sz w:val="20"/>
          <w:szCs w:val="20"/>
        </w:rPr>
        <w:t xml:space="preserve">(4) 30/4/2024 tarihli ve 32532 sayılı Resmî </w:t>
      </w:r>
      <w:proofErr w:type="spellStart"/>
      <w:r w:rsidRPr="00692DBD">
        <w:rPr>
          <w:i/>
          <w:iCs/>
          <w:sz w:val="20"/>
          <w:szCs w:val="20"/>
        </w:rPr>
        <w:t>Gazete’de</w:t>
      </w:r>
      <w:proofErr w:type="spellEnd"/>
      <w:r w:rsidRPr="00692DBD">
        <w:rPr>
          <w:i/>
          <w:iCs/>
          <w:sz w:val="20"/>
          <w:szCs w:val="20"/>
        </w:rPr>
        <w:t xml:space="preserve"> yayımlanan Vergi Usul Kanunu Genel Tebliği (Sıra No: 560) ile 31/8/2024 tarihli ve 32648 sayılı Resmî </w:t>
      </w:r>
      <w:proofErr w:type="spellStart"/>
      <w:r w:rsidRPr="00692DBD">
        <w:rPr>
          <w:i/>
          <w:iCs/>
          <w:sz w:val="20"/>
          <w:szCs w:val="20"/>
        </w:rPr>
        <w:t>Gazete’de</w:t>
      </w:r>
      <w:proofErr w:type="spellEnd"/>
      <w:r w:rsidRPr="00692DBD">
        <w:rPr>
          <w:i/>
          <w:iCs/>
          <w:sz w:val="20"/>
          <w:szCs w:val="20"/>
        </w:rPr>
        <w:t xml:space="preserve"> yayımlanan Vergi Usul Kanunu Genel Tebliği (Sıra No: 563)’</w:t>
      </w:r>
      <w:proofErr w:type="spellStart"/>
      <w:r w:rsidRPr="00692DBD">
        <w:rPr>
          <w:i/>
          <w:iCs/>
          <w:sz w:val="20"/>
          <w:szCs w:val="20"/>
        </w:rPr>
        <w:t>nde</w:t>
      </w:r>
      <w:proofErr w:type="spellEnd"/>
      <w:r w:rsidRPr="00692DBD">
        <w:rPr>
          <w:i/>
          <w:iCs/>
          <w:sz w:val="20"/>
          <w:szCs w:val="20"/>
        </w:rPr>
        <w:t xml:space="preserve"> yer alan düzenlemelere göre 2024 hesap döneminin geçici vergi dönemlerinde enflasyon düzeltmesi yapmamış olan mükellefler dahil olmak üzere kapsama giren tüm mükelleflerce </w:t>
      </w:r>
      <w:r w:rsidRPr="00692DBD">
        <w:rPr>
          <w:b/>
          <w:bCs/>
          <w:i/>
          <w:iCs/>
          <w:sz w:val="20"/>
          <w:szCs w:val="20"/>
        </w:rPr>
        <w:t>2024 hesap dönemi sonuna ait bilançolarda</w:t>
      </w:r>
      <w:r w:rsidRPr="00692DBD">
        <w:rPr>
          <w:i/>
          <w:iCs/>
          <w:sz w:val="20"/>
          <w:szCs w:val="20"/>
        </w:rPr>
        <w:t xml:space="preserve"> (213 sayılı Kanunun 174’üncü maddesi kapsamında kendilerine özel hesap dönemi tayin edilenlerde 2025 takvim yılı içinde sona eren hesap dönemi sonuna ait bilançolarda) </w:t>
      </w:r>
      <w:r w:rsidRPr="00692DBD">
        <w:rPr>
          <w:b/>
          <w:bCs/>
          <w:i/>
          <w:iCs/>
          <w:sz w:val="20"/>
          <w:szCs w:val="20"/>
        </w:rPr>
        <w:t>enflasyon düzeltmesi yapılacaktır.</w:t>
      </w:r>
    </w:p>
    <w:p w14:paraId="75EC51A4" w14:textId="23713665" w:rsidR="00692DBD" w:rsidRPr="00692DBD" w:rsidRDefault="00692DBD" w:rsidP="00692DBD">
      <w:pPr>
        <w:shd w:val="clear" w:color="auto" w:fill="F2F2F2" w:themeFill="background1" w:themeFillShade="F2"/>
        <w:jc w:val="both"/>
        <w:rPr>
          <w:i/>
          <w:iCs/>
          <w:sz w:val="20"/>
          <w:szCs w:val="20"/>
        </w:rPr>
      </w:pPr>
      <w:r w:rsidRPr="00692DBD">
        <w:rPr>
          <w:i/>
          <w:iCs/>
          <w:sz w:val="20"/>
          <w:szCs w:val="20"/>
        </w:rPr>
        <w:t>(5) 213 sayılı Kanunun mükerrer 298’inci maddesinin (A) fıkrasının (9) numaralı bendi kapsamındaki münhasıran sürekli olarak işlenmiş altın, gümüş alım-satımı ve imali ile iştigal eden mükellefler, mezkûr fıkranın (1) numaralı bendinde yer alan şartlara bakılmaksızın (her geçici vergi dönemi sonu itibarıyla) enflasyon düzeltmesi yapma zorunlulukları bulunduğundan, 2025 hesap döneminin birinci, ikinci ve üçüncü geçici vergi dönemleri dâhil enflasyon düzeltmesi yapmaya devam edeceklerdir.”</w:t>
      </w:r>
    </w:p>
    <w:p w14:paraId="4DAECE00" w14:textId="3DB5E152" w:rsidR="00692DBD" w:rsidRPr="00692DBD" w:rsidRDefault="00692DBD" w:rsidP="00692DBD">
      <w:pPr>
        <w:jc w:val="both"/>
        <w:rPr>
          <w:b/>
          <w:bCs/>
        </w:rPr>
      </w:pPr>
      <w:r w:rsidRPr="00692DBD">
        <w:rPr>
          <w:b/>
          <w:bCs/>
        </w:rPr>
        <w:t>Yukarıda belirtilen Tebliğ düzenlemesi gereğince, 2025 yılı içindeki geçici vergilendirme dönemlerinde enflasyon düzeltmesi yapılmayacak ve geçici vergi beyannamesi ekine bilanço eklenmeyecektir. Düzenleme sadece 2025 yılı geçici vergi dönemlerini ilgilendirmekte olup 2024 yılı için enflasyon düzeltmesi yapılacağı tabiidir.</w:t>
      </w:r>
    </w:p>
    <w:p w14:paraId="0BDF43E1" w14:textId="0604E968" w:rsidR="00692DBD" w:rsidRDefault="00692DBD"/>
    <w:p w14:paraId="56052FB2" w14:textId="23CB3536" w:rsidR="00730E2B" w:rsidRPr="00730E2B" w:rsidRDefault="00730E2B" w:rsidP="00730E2B">
      <w:pPr>
        <w:jc w:val="both"/>
        <w:rPr>
          <w:b/>
          <w:bCs/>
          <w:sz w:val="26"/>
          <w:szCs w:val="26"/>
        </w:rPr>
      </w:pPr>
      <w:r w:rsidRPr="00730E2B">
        <w:rPr>
          <w:b/>
          <w:bCs/>
          <w:sz w:val="26"/>
          <w:szCs w:val="26"/>
        </w:rPr>
        <w:t>II-</w:t>
      </w:r>
      <w:r w:rsidRPr="00730E2B">
        <w:rPr>
          <w:sz w:val="26"/>
          <w:szCs w:val="26"/>
        </w:rPr>
        <w:t xml:space="preserve"> </w:t>
      </w:r>
      <w:r w:rsidRPr="00730E2B">
        <w:rPr>
          <w:b/>
          <w:bCs/>
          <w:sz w:val="26"/>
          <w:szCs w:val="26"/>
        </w:rPr>
        <w:t>VERGİ USUL KANUNU GENEL TEBLİĞİ (SIRA NO: 531)’NDE DEĞİŞİKLİK</w:t>
      </w:r>
      <w:r>
        <w:rPr>
          <w:b/>
          <w:bCs/>
          <w:sz w:val="26"/>
          <w:szCs w:val="26"/>
        </w:rPr>
        <w:t xml:space="preserve"> Y</w:t>
      </w:r>
      <w:r w:rsidRPr="00730E2B">
        <w:rPr>
          <w:b/>
          <w:bCs/>
          <w:sz w:val="26"/>
          <w:szCs w:val="26"/>
        </w:rPr>
        <w:t>APILMASINA DAİR TEBLİĞ (SIRA NO: 581) YAYIMLANMIŞTIR</w:t>
      </w:r>
    </w:p>
    <w:p w14:paraId="34382311" w14:textId="5DB8E4D2" w:rsidR="00730E2B" w:rsidRDefault="00730E2B" w:rsidP="00730E2B">
      <w:pPr>
        <w:jc w:val="both"/>
      </w:pPr>
      <w:r>
        <w:t>15 Şubat 2025 tarihli ve 32814 sayılı Resm</w:t>
      </w:r>
      <w:r w:rsidR="00B10114">
        <w:t>î</w:t>
      </w:r>
      <w:r>
        <w:t xml:space="preserve"> </w:t>
      </w:r>
      <w:proofErr w:type="spellStart"/>
      <w:r>
        <w:t>Gazete’de</w:t>
      </w:r>
      <w:proofErr w:type="spellEnd"/>
      <w:r>
        <w:t xml:space="preserve"> yayımlanan 582 Sıra </w:t>
      </w:r>
      <w:proofErr w:type="spellStart"/>
      <w:r>
        <w:t>No’lu</w:t>
      </w:r>
      <w:proofErr w:type="spellEnd"/>
      <w:r>
        <w:t xml:space="preserve"> Vergi Usul Kanunu (VUK) Tebliği ile 531 </w:t>
      </w:r>
      <w:r w:rsidR="006312B8">
        <w:t xml:space="preserve">Sıra </w:t>
      </w:r>
      <w:proofErr w:type="spellStart"/>
      <w:r w:rsidR="006312B8">
        <w:t>No’lu</w:t>
      </w:r>
      <w:proofErr w:type="spellEnd"/>
      <w:r w:rsidR="006312B8">
        <w:t xml:space="preserve"> Vergi U</w:t>
      </w:r>
      <w:r w:rsidR="00AB7924">
        <w:t>s</w:t>
      </w:r>
      <w:r w:rsidR="006312B8">
        <w:t>ul Kanunu Genel Tebliği’nde değişiklik yapılmıştır.</w:t>
      </w:r>
      <w:r w:rsidR="00E74718">
        <w:t xml:space="preserve"> Değişiklikler Tebliğin yayımı tarihinde yürürlüğe girmiştir.</w:t>
      </w:r>
    </w:p>
    <w:p w14:paraId="79EFB2F2" w14:textId="039E70EA" w:rsidR="00AB7924" w:rsidRDefault="00AB7924" w:rsidP="00730E2B">
      <w:pPr>
        <w:jc w:val="both"/>
      </w:pPr>
      <w:r w:rsidRPr="00AB7924">
        <w:lastRenderedPageBreak/>
        <w:t xml:space="preserve">2/9/2021 tarihli ve 31586 sayılı Resmî </w:t>
      </w:r>
      <w:proofErr w:type="spellStart"/>
      <w:r w:rsidRPr="00AB7924">
        <w:t>Gazete’de</w:t>
      </w:r>
      <w:proofErr w:type="spellEnd"/>
      <w:r w:rsidRPr="00AB7924">
        <w:t xml:space="preserve"> yayımlanan Vergi Usul Kanunu Genel Tebliği (Sıra No: 531)’</w:t>
      </w:r>
      <w:proofErr w:type="spellStart"/>
      <w:r w:rsidRPr="00AB7924">
        <w:t>nin</w:t>
      </w:r>
      <w:proofErr w:type="spellEnd"/>
      <w:r w:rsidRPr="00AB7924">
        <w:t xml:space="preserve"> 5</w:t>
      </w:r>
      <w:r>
        <w:t>’</w:t>
      </w:r>
      <w:r w:rsidRPr="00AB7924">
        <w:t xml:space="preserve">inci maddesinin ikinci fıkrasının (a) bendinin (ii) alt bendinde yer alan “sahip olanların” ibaresinden sonra gelmek üzere </w:t>
      </w:r>
      <w:r w:rsidRPr="00AB7924">
        <w:rPr>
          <w:b/>
          <w:bCs/>
        </w:rPr>
        <w:t>“her bir farklı türde lisans için”</w:t>
      </w:r>
      <w:r w:rsidRPr="00AB7924">
        <w:t xml:space="preserve"> ibaresi eklenmiş ve aynı maddenin üçüncü fıkrası yürürlükten kaldırılmıştır.</w:t>
      </w:r>
    </w:p>
    <w:p w14:paraId="701B0813" w14:textId="21F700DB" w:rsidR="00AB7924" w:rsidRDefault="00AB7924" w:rsidP="00730E2B">
      <w:pPr>
        <w:jc w:val="both"/>
      </w:pPr>
      <w:r>
        <w:t>“</w:t>
      </w:r>
      <w:r w:rsidRPr="00AB7924">
        <w:t>5015 sayılı Kanun ile 5307 sayılı Kanun kapsamında lisansa tabi faaliyetlerde bulunanlara ilişkin teminat uygulaması</w:t>
      </w:r>
      <w:r>
        <w:t>” başlıklı 5. maddenin ikinci fıkrasının son hali aşağıdaki gibidir:</w:t>
      </w:r>
    </w:p>
    <w:p w14:paraId="5AA665A4" w14:textId="77777777" w:rsidR="003202AF" w:rsidRPr="003202AF" w:rsidRDefault="003202AF" w:rsidP="003202AF">
      <w:pPr>
        <w:shd w:val="clear" w:color="auto" w:fill="F2F2F2" w:themeFill="background1" w:themeFillShade="F2"/>
        <w:jc w:val="both"/>
        <w:rPr>
          <w:i/>
          <w:iCs/>
          <w:sz w:val="20"/>
          <w:szCs w:val="20"/>
        </w:rPr>
      </w:pPr>
      <w:r w:rsidRPr="003202AF">
        <w:rPr>
          <w:i/>
          <w:iCs/>
          <w:sz w:val="20"/>
          <w:szCs w:val="20"/>
        </w:rPr>
        <w:t>“(2) Birinci fıkra gereğince teminat uygulaması kapsamında olup;</w:t>
      </w:r>
    </w:p>
    <w:p w14:paraId="3C962EAD" w14:textId="35AB5BA4" w:rsidR="003202AF" w:rsidRPr="003202AF" w:rsidRDefault="003202AF" w:rsidP="003202AF">
      <w:pPr>
        <w:shd w:val="clear" w:color="auto" w:fill="F2F2F2" w:themeFill="background1" w:themeFillShade="F2"/>
        <w:jc w:val="both"/>
        <w:rPr>
          <w:i/>
          <w:iCs/>
          <w:sz w:val="20"/>
          <w:szCs w:val="20"/>
        </w:rPr>
      </w:pPr>
      <w:r w:rsidRPr="003202AF">
        <w:rPr>
          <w:i/>
          <w:iCs/>
          <w:sz w:val="20"/>
          <w:szCs w:val="20"/>
        </w:rPr>
        <w:t>a) Yeni işe başlayan mükelleflerden (faaliyetine öteden bu yana devam etmekle birlikte, ilk kez teminat verilmesini gerektiren lisansa sahip olanlar dahil), sahip oldukları lisans sayısına bakılmaksızın;</w:t>
      </w:r>
    </w:p>
    <w:p w14:paraId="6889847A" w14:textId="4481BFFE" w:rsidR="003202AF" w:rsidRPr="003202AF" w:rsidRDefault="003202AF" w:rsidP="003202AF">
      <w:pPr>
        <w:shd w:val="clear" w:color="auto" w:fill="F2F2F2" w:themeFill="background1" w:themeFillShade="F2"/>
        <w:jc w:val="both"/>
        <w:rPr>
          <w:i/>
          <w:iCs/>
          <w:sz w:val="20"/>
          <w:szCs w:val="20"/>
        </w:rPr>
      </w:pPr>
      <w:r w:rsidRPr="003202AF">
        <w:rPr>
          <w:i/>
          <w:iCs/>
          <w:sz w:val="20"/>
          <w:szCs w:val="20"/>
        </w:rPr>
        <w:t>i) Dağıtıcı lisansına sahip olanların 213 sayılı Kanunun mükerrer 257’nci maddesinin birinci fıkrasının (8) numaralı bendinde yer alan azami tutarın iki katı kadar (2021 yılı için 20 milyon Türk lirası),</w:t>
      </w:r>
    </w:p>
    <w:p w14:paraId="7EAC3028" w14:textId="40AF5B80" w:rsidR="003202AF" w:rsidRPr="003202AF" w:rsidRDefault="003202AF" w:rsidP="003202AF">
      <w:pPr>
        <w:shd w:val="clear" w:color="auto" w:fill="F2F2F2" w:themeFill="background1" w:themeFillShade="F2"/>
        <w:jc w:val="both"/>
        <w:rPr>
          <w:i/>
          <w:iCs/>
          <w:sz w:val="20"/>
          <w:szCs w:val="20"/>
        </w:rPr>
      </w:pPr>
      <w:r w:rsidRPr="003202AF">
        <w:rPr>
          <w:i/>
          <w:iCs/>
          <w:sz w:val="20"/>
          <w:szCs w:val="20"/>
        </w:rPr>
        <w:t>ii) Dağıtıcı lisansı dışındaki lisanslara sahip olanların </w:t>
      </w:r>
      <w:r w:rsidRPr="003202AF">
        <w:rPr>
          <w:b/>
          <w:bCs/>
          <w:i/>
          <w:iCs/>
          <w:sz w:val="20"/>
          <w:szCs w:val="20"/>
        </w:rPr>
        <w:t>her bir farklı türde lisans için</w:t>
      </w:r>
      <w:r w:rsidRPr="003202AF">
        <w:rPr>
          <w:i/>
          <w:iCs/>
          <w:sz w:val="20"/>
          <w:szCs w:val="20"/>
        </w:rPr>
        <w:t xml:space="preserve"> (i) alt bendinde belirtilen tutarın yirmide biri kadar (2021 yılı için 1 milyon Türk lirası),</w:t>
      </w:r>
    </w:p>
    <w:p w14:paraId="2EC067B1" w14:textId="5A3A7538" w:rsidR="003202AF" w:rsidRPr="003202AF" w:rsidRDefault="003202AF" w:rsidP="003202AF">
      <w:pPr>
        <w:shd w:val="clear" w:color="auto" w:fill="F2F2F2" w:themeFill="background1" w:themeFillShade="F2"/>
        <w:jc w:val="both"/>
        <w:rPr>
          <w:i/>
          <w:iCs/>
          <w:sz w:val="20"/>
          <w:szCs w:val="20"/>
        </w:rPr>
      </w:pPr>
      <w:r w:rsidRPr="003202AF">
        <w:rPr>
          <w:i/>
          <w:iCs/>
          <w:sz w:val="20"/>
          <w:szCs w:val="20"/>
        </w:rPr>
        <w:t>b) Faaliyetlerine öteden bu yana devam eden mükelleflerin, sahip oldukları lisans sayısına bakılmaksızın, 213 sayılı Kanunun mükerrer 257’nci maddesinin birinci fıkrasının (8) numaralı bendinde yer alan azami tutardan (2021 yılı için 100 milyon Türk lirası) fazla olmamak üzere, bir önceki hesap dönemine ilişkin olarak verilen yıllık gelir veya kurumlar vergisi beyannamesi ile bildirilen yıllık brüt satışları toplamının %1’i oranında,</w:t>
      </w:r>
    </w:p>
    <w:p w14:paraId="2656C034" w14:textId="2EA58EEA" w:rsidR="003202AF" w:rsidRPr="003202AF" w:rsidRDefault="003202AF" w:rsidP="003202AF">
      <w:pPr>
        <w:shd w:val="clear" w:color="auto" w:fill="F2F2F2" w:themeFill="background1" w:themeFillShade="F2"/>
        <w:jc w:val="both"/>
        <w:rPr>
          <w:i/>
          <w:iCs/>
          <w:sz w:val="20"/>
          <w:szCs w:val="20"/>
        </w:rPr>
      </w:pPr>
      <w:proofErr w:type="gramStart"/>
      <w:r w:rsidRPr="003202AF">
        <w:rPr>
          <w:i/>
          <w:iCs/>
          <w:sz w:val="20"/>
          <w:szCs w:val="20"/>
        </w:rPr>
        <w:t>teminat</w:t>
      </w:r>
      <w:proofErr w:type="gramEnd"/>
      <w:r w:rsidRPr="003202AF">
        <w:rPr>
          <w:i/>
          <w:iCs/>
          <w:sz w:val="20"/>
          <w:szCs w:val="20"/>
        </w:rPr>
        <w:t xml:space="preserve"> vermesi gerekmektedir.”</w:t>
      </w:r>
    </w:p>
    <w:p w14:paraId="2C20ED0E" w14:textId="10E0EB84" w:rsidR="00AB7924" w:rsidRDefault="003202AF" w:rsidP="00730E2B">
      <w:pPr>
        <w:jc w:val="both"/>
      </w:pPr>
      <w:r w:rsidRPr="003202AF">
        <w:t xml:space="preserve">5015 sayılı </w:t>
      </w:r>
      <w:r>
        <w:t xml:space="preserve">Kanun, </w:t>
      </w:r>
      <w:r w:rsidRPr="003202AF">
        <w:t xml:space="preserve">Petrol Piyasası Kanunu ve 5307 sayılı </w:t>
      </w:r>
      <w:r>
        <w:t xml:space="preserve">Kanun, </w:t>
      </w:r>
      <w:r w:rsidRPr="003202AF">
        <w:t>Sıvılaştırılmış Petrol Gazları (LPG) Piyasası Kanunu</w:t>
      </w:r>
      <w:r>
        <w:t>’dur.</w:t>
      </w:r>
    </w:p>
    <w:p w14:paraId="6C962122" w14:textId="35EEEF67" w:rsidR="0027580C" w:rsidRDefault="0027580C" w:rsidP="00730E2B">
      <w:pPr>
        <w:jc w:val="both"/>
      </w:pPr>
      <w:r>
        <w:t>531 Sayılı VUK Genel Tebliği’ne aşağıda belirtilen geçici madde eklenmiştir.</w:t>
      </w:r>
    </w:p>
    <w:p w14:paraId="00AFEB79" w14:textId="786A0D25" w:rsidR="0027580C" w:rsidRPr="0027580C" w:rsidRDefault="0027580C" w:rsidP="0027580C">
      <w:pPr>
        <w:shd w:val="clear" w:color="auto" w:fill="F2F2F2" w:themeFill="background1" w:themeFillShade="F2"/>
        <w:jc w:val="both"/>
        <w:rPr>
          <w:i/>
          <w:iCs/>
          <w:sz w:val="20"/>
          <w:szCs w:val="20"/>
        </w:rPr>
      </w:pPr>
      <w:r w:rsidRPr="0027580C">
        <w:rPr>
          <w:i/>
          <w:iCs/>
          <w:sz w:val="20"/>
          <w:szCs w:val="20"/>
        </w:rPr>
        <w:t>“GEÇİCİ MADDE 2- (1) Bu maddenin yayımı tarihinden itibaren alınacak lisanslara istinaden yeni işe başlayanlardan, bu maddeyi ihdas eden Tebliğ ile yapılan değişiklik hükümlerine göre teminat alınır. Öteden beri işe devam edenler tarafından 5</w:t>
      </w:r>
      <w:r w:rsidR="00E74718">
        <w:rPr>
          <w:i/>
          <w:iCs/>
          <w:sz w:val="20"/>
          <w:szCs w:val="20"/>
        </w:rPr>
        <w:t>’</w:t>
      </w:r>
      <w:r w:rsidRPr="0027580C">
        <w:rPr>
          <w:i/>
          <w:iCs/>
          <w:sz w:val="20"/>
          <w:szCs w:val="20"/>
        </w:rPr>
        <w:t>inci maddenin ikinci fıkrasının (b) bendi kapsamında bu maddeyi ihdas eden Tebliğin yayımı tarihinden itibaren verilmesi gereken teminatlar bu değişiklik hükümlerine göre alınır.”</w:t>
      </w:r>
    </w:p>
    <w:p w14:paraId="71D4D2B9" w14:textId="77777777" w:rsidR="0027580C" w:rsidRPr="00AB7924" w:rsidRDefault="0027580C" w:rsidP="00730E2B">
      <w:pPr>
        <w:jc w:val="both"/>
      </w:pPr>
    </w:p>
    <w:p w14:paraId="3CDFFA8D" w14:textId="68895F69" w:rsidR="00315BD8" w:rsidRDefault="00B10114" w:rsidP="00315BD8">
      <w:pPr>
        <w:rPr>
          <w:b/>
          <w:bCs/>
          <w:sz w:val="26"/>
          <w:szCs w:val="26"/>
        </w:rPr>
      </w:pPr>
      <w:r w:rsidRPr="00315BD8">
        <w:rPr>
          <w:b/>
          <w:bCs/>
          <w:sz w:val="26"/>
          <w:szCs w:val="26"/>
        </w:rPr>
        <w:t xml:space="preserve">III- </w:t>
      </w:r>
      <w:r w:rsidR="00315BD8" w:rsidRPr="00315BD8">
        <w:rPr>
          <w:b/>
          <w:bCs/>
          <w:sz w:val="26"/>
          <w:szCs w:val="26"/>
        </w:rPr>
        <w:t>İŞLETMENİN MUHASEBESİYLE İLGİLİ OLMAYAN TİCARİ DEFTERLERİN</w:t>
      </w:r>
      <w:r w:rsidR="00315BD8">
        <w:rPr>
          <w:b/>
          <w:bCs/>
          <w:sz w:val="26"/>
          <w:szCs w:val="26"/>
        </w:rPr>
        <w:t xml:space="preserve"> </w:t>
      </w:r>
      <w:r w:rsidR="00315BD8" w:rsidRPr="00315BD8">
        <w:rPr>
          <w:b/>
          <w:bCs/>
          <w:sz w:val="26"/>
          <w:szCs w:val="26"/>
        </w:rPr>
        <w:t>ELEKTRONİK ORTAMDA TUTULMASI HAKKINDA TEBLİĞ</w:t>
      </w:r>
      <w:r w:rsidR="00315BD8">
        <w:rPr>
          <w:b/>
          <w:bCs/>
          <w:sz w:val="26"/>
          <w:szCs w:val="26"/>
        </w:rPr>
        <w:t xml:space="preserve"> YAYIMLANMIŞTIR</w:t>
      </w:r>
    </w:p>
    <w:p w14:paraId="14A85697" w14:textId="060857BD" w:rsidR="00315BD8" w:rsidRDefault="00E67999" w:rsidP="00593C2E">
      <w:pPr>
        <w:jc w:val="both"/>
      </w:pPr>
      <w:r>
        <w:t>“</w:t>
      </w:r>
      <w:r w:rsidR="00C841A9" w:rsidRPr="00C841A9">
        <w:t xml:space="preserve">İşletmenin Muhasebesiyle İlgili Olmayan Ticari Defterlerin </w:t>
      </w:r>
      <w:r w:rsidR="00C841A9" w:rsidRPr="00315BD8">
        <w:t>Elektronik Ortamda Tutulması Hakkında Tebliğ</w:t>
      </w:r>
      <w:r>
        <w:t>”,</w:t>
      </w:r>
      <w:r w:rsidR="00C841A9">
        <w:t xml:space="preserve"> </w:t>
      </w:r>
      <w:r>
        <w:t xml:space="preserve">01 Temmuz 2025 tarihinden itibaren yürürlüğe girmek üzere, </w:t>
      </w:r>
      <w:r w:rsidR="00C841A9">
        <w:t xml:space="preserve">14 Şubat 2025 tarihli ve 32813 sayılı </w:t>
      </w:r>
      <w:proofErr w:type="gramStart"/>
      <w:r w:rsidR="00C841A9">
        <w:t>Resmi</w:t>
      </w:r>
      <w:proofErr w:type="gramEnd"/>
      <w:r w:rsidR="00C841A9">
        <w:t xml:space="preserve"> </w:t>
      </w:r>
      <w:proofErr w:type="spellStart"/>
      <w:r w:rsidR="00C841A9">
        <w:t>Gazete’de</w:t>
      </w:r>
      <w:proofErr w:type="spellEnd"/>
      <w:r>
        <w:t xml:space="preserve"> yayımlanmıştır.</w:t>
      </w:r>
    </w:p>
    <w:p w14:paraId="5F3FA663" w14:textId="6943BEFD" w:rsidR="00E67999" w:rsidRDefault="00897CCE" w:rsidP="00593C2E">
      <w:pPr>
        <w:jc w:val="both"/>
      </w:pPr>
      <w:r>
        <w:t xml:space="preserve">Anılan Tebliğin </w:t>
      </w:r>
      <w:proofErr w:type="gramStart"/>
      <w:r>
        <w:t>kapsamı  2.</w:t>
      </w:r>
      <w:proofErr w:type="gramEnd"/>
      <w:r>
        <w:t xml:space="preserve"> maddede belirtilmiştir. Buna göre, “</w:t>
      </w:r>
      <w:r w:rsidRPr="00897CCE">
        <w:rPr>
          <w:b/>
          <w:bCs/>
        </w:rPr>
        <w:t>bu Tebliğ, pay defteri, yönetim kurulu karar defteri, müdürler kurulu karar defteri ile genel kurul toplantı ve müzakere defterini kapsar</w:t>
      </w:r>
      <w:r>
        <w:t>”.</w:t>
      </w:r>
    </w:p>
    <w:p w14:paraId="7283CB17" w14:textId="5BF6E249" w:rsidR="00897CCE" w:rsidRDefault="00427DCB" w:rsidP="00593C2E">
      <w:pPr>
        <w:jc w:val="both"/>
      </w:pPr>
      <w:r>
        <w:t>Kimlerin defterlerini elektronik ortamda tutacağı Tebliğin 5. maddesinde belirt</w:t>
      </w:r>
      <w:r w:rsidR="00593C2E">
        <w:t>i</w:t>
      </w:r>
      <w:r>
        <w:t>lmiştir. Buna göre;</w:t>
      </w:r>
    </w:p>
    <w:p w14:paraId="3531AB45" w14:textId="77777777" w:rsidR="00427DCB" w:rsidRPr="00427DCB" w:rsidRDefault="00427DCB" w:rsidP="00593C2E">
      <w:pPr>
        <w:jc w:val="both"/>
      </w:pPr>
      <w:r>
        <w:t>“</w:t>
      </w:r>
      <w:r w:rsidRPr="00427DCB">
        <w:rPr>
          <w:b/>
          <w:bCs/>
        </w:rPr>
        <w:t>MADDE 5- </w:t>
      </w:r>
      <w:r w:rsidRPr="00427DCB">
        <w:t>(1) Aşağıda sayılan şirketler bu Tebliğ hükümleri uyarınca defterlerini elektronik ortamda tutmakla yükümlüdür:</w:t>
      </w:r>
    </w:p>
    <w:p w14:paraId="4D844CC2" w14:textId="77777777" w:rsidR="00427DCB" w:rsidRPr="00427DCB" w:rsidRDefault="00427DCB" w:rsidP="00593C2E">
      <w:pPr>
        <w:jc w:val="both"/>
      </w:pPr>
      <w:r w:rsidRPr="00427DCB">
        <w:t xml:space="preserve">a) </w:t>
      </w:r>
      <w:r w:rsidRPr="00427DCB">
        <w:rPr>
          <w:b/>
          <w:bCs/>
        </w:rPr>
        <w:t>1/1/2026 tarihinden itibaren kuruluşu ticaret siciline tescil edilen şirketler.</w:t>
      </w:r>
    </w:p>
    <w:p w14:paraId="67818E62" w14:textId="3AF6257C" w:rsidR="00427DCB" w:rsidRPr="00427DCB" w:rsidRDefault="00427DCB" w:rsidP="00593C2E">
      <w:pPr>
        <w:jc w:val="both"/>
      </w:pPr>
      <w:r w:rsidRPr="00427DCB">
        <w:lastRenderedPageBreak/>
        <w:t xml:space="preserve">b) 15/11/2012 tarihli ve 28468 sayılı Resmî </w:t>
      </w:r>
      <w:proofErr w:type="spellStart"/>
      <w:r w:rsidRPr="00427DCB">
        <w:t>Gazete’de</w:t>
      </w:r>
      <w:proofErr w:type="spellEnd"/>
      <w:r w:rsidRPr="00427DCB">
        <w:t xml:space="preserve"> yayımlanan Anonim ve Limited Şirketlerin Sermayelerini Yeni Asgari Tutarlara Yükseltmelerine ve Kuruluşu ve Esas Sözleşme Değişikliği İzne Tabi Anonim Şirketlerin Belirlenmesine İlişkin Tebliğin 5</w:t>
      </w:r>
      <w:r>
        <w:t>’</w:t>
      </w:r>
      <w:r w:rsidRPr="00427DCB">
        <w:t>inci maddesinin birinci fıkrasında sayılan anonim şirketler.</w:t>
      </w:r>
    </w:p>
    <w:p w14:paraId="7040329F" w14:textId="77777777" w:rsidR="00427DCB" w:rsidRPr="00427DCB" w:rsidRDefault="00427DCB" w:rsidP="000701E4">
      <w:pPr>
        <w:jc w:val="both"/>
      </w:pPr>
      <w:r w:rsidRPr="00427DCB">
        <w:t>(2) Birinci fıkra kapsamında yer almayan şirketler ihtiyari olarak bu Tebliğ kapsamındaki defterlerini elektronik ortamda tutabilir. Bu durumda defterlerin tamamı elektronik ortamda tutulur.</w:t>
      </w:r>
    </w:p>
    <w:p w14:paraId="69E2E29D" w14:textId="77777777" w:rsidR="00427DCB" w:rsidRPr="00427DCB" w:rsidRDefault="00427DCB" w:rsidP="000701E4">
      <w:pPr>
        <w:jc w:val="both"/>
      </w:pPr>
      <w:r w:rsidRPr="00427DCB">
        <w:t>(3) Bu Tebliğ hükümleri uyarınca defterlerini elektronik ortamda tutmaya başlayan şirketler, her ne sebeple olursa olsun söz konusu defterlerini yeniden fiziki ortamda tutamaz.</w:t>
      </w:r>
    </w:p>
    <w:p w14:paraId="401C8DC2" w14:textId="77777777" w:rsidR="00427DCB" w:rsidRPr="00427DCB" w:rsidRDefault="00427DCB" w:rsidP="000701E4">
      <w:pPr>
        <w:jc w:val="both"/>
      </w:pPr>
      <w:r w:rsidRPr="00427DCB">
        <w:t>(4) Şirketlerin, bu Tebliğde belirlenen usul ve esaslar çerçevesinde tuttukları defterler geçerli kanuni defterler olarak kabul edilir.</w:t>
      </w:r>
    </w:p>
    <w:p w14:paraId="22771475" w14:textId="28819254" w:rsidR="00427DCB" w:rsidRDefault="00427DCB" w:rsidP="000701E4">
      <w:pPr>
        <w:jc w:val="both"/>
      </w:pPr>
      <w:r w:rsidRPr="00427DCB">
        <w:t>(5) Elektronik ortamda tutulan defterler için açılış ve kapanış onayı aranmaz.</w:t>
      </w:r>
      <w:r>
        <w:t>”</w:t>
      </w:r>
    </w:p>
    <w:p w14:paraId="1A7B94E7" w14:textId="77777777" w:rsidR="00427DCB" w:rsidRDefault="00427DCB" w:rsidP="00427DCB"/>
    <w:p w14:paraId="7F371828" w14:textId="3762FA38" w:rsidR="00427DCB" w:rsidRPr="00427DCB" w:rsidRDefault="00427DCB" w:rsidP="000701E4">
      <w:pPr>
        <w:jc w:val="both"/>
      </w:pPr>
      <w:r>
        <w:t xml:space="preserve">Yukarıda bahsedilen </w:t>
      </w:r>
      <w:r w:rsidRPr="00427DCB">
        <w:t>Anonim ve Limited Şirketlerin Sermayelerini Yeni Asgari Tutarlara Yükseltmelerine ve Kuruluşu ve Esas Sözleşme Değişikliği İzne Tabi Anonim Şirketlerin Belirlenmesine İlişkin Tebliğin 5</w:t>
      </w:r>
      <w:r>
        <w:t>’</w:t>
      </w:r>
      <w:r w:rsidRPr="00427DCB">
        <w:t>inci maddesinin birinci fıkrası</w:t>
      </w:r>
      <w:r>
        <w:t xml:space="preserve"> şu şekildedir:</w:t>
      </w:r>
    </w:p>
    <w:p w14:paraId="5ABBC7F1" w14:textId="010E669D" w:rsidR="00427DCB" w:rsidRPr="00427DCB" w:rsidRDefault="00427DCB" w:rsidP="00427DCB">
      <w:pPr>
        <w:shd w:val="clear" w:color="auto" w:fill="F2F2F2" w:themeFill="background1" w:themeFillShade="F2"/>
        <w:jc w:val="both"/>
        <w:rPr>
          <w:i/>
          <w:iCs/>
          <w:sz w:val="20"/>
          <w:szCs w:val="20"/>
        </w:rPr>
      </w:pPr>
      <w:r w:rsidRPr="00427DCB">
        <w:rPr>
          <w:b/>
          <w:bCs/>
          <w:i/>
          <w:iCs/>
          <w:sz w:val="20"/>
          <w:szCs w:val="20"/>
        </w:rPr>
        <w:t>“Kuruluşu ve esas sözleşme değişikliği işlemleri Bakanlık iznine tabi olan şirketler</w:t>
      </w:r>
    </w:p>
    <w:p w14:paraId="70F2598A" w14:textId="363A237D" w:rsidR="00427DCB" w:rsidRPr="00427DCB" w:rsidRDefault="00427DCB" w:rsidP="00427DCB">
      <w:pPr>
        <w:shd w:val="clear" w:color="auto" w:fill="F2F2F2" w:themeFill="background1" w:themeFillShade="F2"/>
        <w:jc w:val="both"/>
        <w:rPr>
          <w:b/>
          <w:bCs/>
          <w:i/>
          <w:iCs/>
          <w:sz w:val="20"/>
          <w:szCs w:val="20"/>
        </w:rPr>
      </w:pPr>
      <w:r w:rsidRPr="00427DCB">
        <w:rPr>
          <w:b/>
          <w:bCs/>
          <w:i/>
          <w:iCs/>
          <w:sz w:val="20"/>
          <w:szCs w:val="20"/>
        </w:rPr>
        <w:t>MADDE 5 –</w:t>
      </w:r>
      <w:r w:rsidRPr="00427DCB">
        <w:rPr>
          <w:i/>
          <w:iCs/>
          <w:sz w:val="20"/>
          <w:szCs w:val="20"/>
        </w:rPr>
        <w:t xml:space="preserve"> (1) </w:t>
      </w:r>
      <w:r w:rsidRPr="00427DCB">
        <w:rPr>
          <w:b/>
          <w:bCs/>
          <w:i/>
          <w:iCs/>
          <w:sz w:val="20"/>
          <w:szCs w:val="20"/>
        </w:rPr>
        <w:t>Bankalar, finansal kiralama şirketleri, </w:t>
      </w:r>
      <w:proofErr w:type="spellStart"/>
      <w:r w:rsidRPr="00427DCB">
        <w:rPr>
          <w:b/>
          <w:bCs/>
          <w:i/>
          <w:iCs/>
          <w:sz w:val="20"/>
          <w:szCs w:val="20"/>
        </w:rPr>
        <w:t>faktoring</w:t>
      </w:r>
      <w:proofErr w:type="spellEnd"/>
      <w:r w:rsidRPr="00427DCB">
        <w:rPr>
          <w:b/>
          <w:bCs/>
          <w:i/>
          <w:iCs/>
          <w:sz w:val="20"/>
          <w:szCs w:val="20"/>
        </w:rPr>
        <w:t>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28/7/1981 tarihli ve 2499 sayılı Sermaye Piyasası Kanununa tabi şirketler ile serbest bölge kurucusu ve işleticisi şirketlerin kuruluşları ve esas sözleşme değişiklikleri Bakanlığın iznine tabidir. Ancak, kayıtlı sermaye sistemine kabul edilen Sermaye Piyasası Kanununa tabi halka açık anonim şirketlerin kayıtlı sermaye tavanı içinde yapacakları sermaye artışlarında Bakanlık izni aranmaz.</w:t>
      </w:r>
      <w:r w:rsidRPr="00593C2E">
        <w:rPr>
          <w:b/>
          <w:bCs/>
          <w:i/>
          <w:iCs/>
          <w:sz w:val="20"/>
          <w:szCs w:val="20"/>
        </w:rPr>
        <w:t>”</w:t>
      </w:r>
    </w:p>
    <w:p w14:paraId="4DB14AFA" w14:textId="78AE0BD1" w:rsidR="00762B32" w:rsidRDefault="00762B32" w:rsidP="00762B32">
      <w:r>
        <w:t xml:space="preserve">Tebliğin başvuru ve defterlerin oluşturulmasıyla ilgili 9. maddesi gereğince, </w:t>
      </w:r>
    </w:p>
    <w:p w14:paraId="408F7101" w14:textId="68205FB2" w:rsidR="00762B32" w:rsidRPr="00762B32" w:rsidRDefault="00762B32" w:rsidP="00762B32">
      <w:pPr>
        <w:shd w:val="clear" w:color="auto" w:fill="F2F2F2" w:themeFill="background1" w:themeFillShade="F2"/>
        <w:jc w:val="both"/>
        <w:rPr>
          <w:i/>
          <w:iCs/>
          <w:sz w:val="20"/>
          <w:szCs w:val="20"/>
        </w:rPr>
      </w:pPr>
      <w:r w:rsidRPr="00762B32">
        <w:rPr>
          <w:i/>
          <w:iCs/>
          <w:sz w:val="20"/>
          <w:szCs w:val="20"/>
        </w:rPr>
        <w:t>“(1) Kuruluşundan itibaren defterlerini elektronik ortamda tutacak şirketlerde defterler, şirketin ticaret siciline tescili ile birlikte eş zamanlı olarak Sistemde oluşturularak aktif hale getirilir.</w:t>
      </w:r>
    </w:p>
    <w:p w14:paraId="59EF0B8D" w14:textId="77777777" w:rsidR="00762B32" w:rsidRPr="00762B32" w:rsidRDefault="00762B32" w:rsidP="00762B32">
      <w:pPr>
        <w:shd w:val="clear" w:color="auto" w:fill="F2F2F2" w:themeFill="background1" w:themeFillShade="F2"/>
        <w:jc w:val="both"/>
        <w:rPr>
          <w:i/>
          <w:iCs/>
          <w:sz w:val="20"/>
          <w:szCs w:val="20"/>
        </w:rPr>
      </w:pPr>
      <w:r w:rsidRPr="00762B32">
        <w:rPr>
          <w:i/>
          <w:iCs/>
          <w:sz w:val="20"/>
          <w:szCs w:val="20"/>
        </w:rPr>
        <w:t>(2) Fiziki olarak defter tutmakta iken elektronik ortamda defter tutma yükümlülüğü kapsamına giren şirketler, yükümlülüğün doğduğu tarihten itibaren en geç iki ay içinde Ek-1’deki örneğe uygun düzenlenen bir kararla birlikte notere başvurarak fiziki defterlerin kapanış onayını yaptırır.</w:t>
      </w:r>
    </w:p>
    <w:p w14:paraId="429B1868" w14:textId="77777777" w:rsidR="00762B32" w:rsidRPr="00762B32" w:rsidRDefault="00762B32" w:rsidP="00762B32">
      <w:pPr>
        <w:shd w:val="clear" w:color="auto" w:fill="F2F2F2" w:themeFill="background1" w:themeFillShade="F2"/>
        <w:jc w:val="both"/>
        <w:rPr>
          <w:i/>
          <w:iCs/>
          <w:sz w:val="20"/>
          <w:szCs w:val="20"/>
        </w:rPr>
      </w:pPr>
      <w:r w:rsidRPr="00762B32">
        <w:rPr>
          <w:i/>
          <w:iCs/>
          <w:sz w:val="20"/>
          <w:szCs w:val="20"/>
        </w:rPr>
        <w:t>(3) Defterlerini ihtiyari olarak elektronik ortamda tutmak isteyen şirketler Ek-1’deki örneğe uygun düzenlenen bir kararla, kararın alındığı hesap dönemi içinde notere başvurarak fiziki defterlerin kapanış onayını yaptırır. Kapanış onayının ilgili hesap dönemi içinde yaptırılmaması halinde, sonraki hesap dönemlerinde elektronik deftere geçiş amacıyla kapanış onayının yaptırılabilmesi ancak aynı hesap döneminde alınacak yeni bir kararla mümkün olur.</w:t>
      </w:r>
    </w:p>
    <w:p w14:paraId="5304351B" w14:textId="5C817918" w:rsidR="00762B32" w:rsidRPr="00762B32" w:rsidRDefault="00762B32" w:rsidP="00762B32">
      <w:pPr>
        <w:shd w:val="clear" w:color="auto" w:fill="F2F2F2" w:themeFill="background1" w:themeFillShade="F2"/>
        <w:jc w:val="both"/>
        <w:rPr>
          <w:i/>
          <w:iCs/>
          <w:sz w:val="20"/>
          <w:szCs w:val="20"/>
        </w:rPr>
      </w:pPr>
      <w:r w:rsidRPr="00762B32">
        <w:rPr>
          <w:i/>
          <w:iCs/>
          <w:sz w:val="20"/>
          <w:szCs w:val="20"/>
        </w:rPr>
        <w:t>(4) Kapanış onayında noter, kapanışın elektronik deftere geçiş amacıyla yapıldığı bilgisiyle işlemin yapıldığı tarih ve sayıyı fiziki deftere şerh olarak işler. Kullanıcı bilgileri ile defter kapanış bilgilerinin noter tarafından Sisteme tanımlanmasıyla birlikte defterler Sistemde oluşturularak aktif hale getirilir.”</w:t>
      </w:r>
    </w:p>
    <w:p w14:paraId="646581D1" w14:textId="359C2F8E" w:rsidR="00427DCB" w:rsidRDefault="00762B32" w:rsidP="00762B32">
      <w:pPr>
        <w:jc w:val="both"/>
      </w:pPr>
      <w:r>
        <w:t>Tebliğin 10. maddesindeki açıklamaya göre, s</w:t>
      </w:r>
      <w:r w:rsidRPr="00762B32">
        <w:t xml:space="preserve">istemde oluşturulan defterler üzerinde işlem yapma yetkisi, şirket yönetim organı veya yönetici ortaklar tarafından yönetim organı üyeleri, yönetici ortaklar </w:t>
      </w:r>
      <w:r w:rsidRPr="00762B32">
        <w:lastRenderedPageBreak/>
        <w:t>veya üçüncü kişiler arasından belirlenecek sistem kullanıcısına aittir. Sistem kullanıcısı olarak birden fazla kişi belirlenebilir.</w:t>
      </w:r>
    </w:p>
    <w:p w14:paraId="7AEE971C" w14:textId="14848BE6" w:rsidR="00762B32" w:rsidRDefault="00762B32" w:rsidP="00762B32">
      <w:pPr>
        <w:jc w:val="both"/>
      </w:pPr>
      <w:r>
        <w:t>Tebliğin 11. maddesi uyarınca, “S</w:t>
      </w:r>
      <w:r w:rsidRPr="00762B32">
        <w:t>istem üzerinde oluşturulan defterler şirketlerin kullanımına hazır halde elektronik defter dosyası formatında Bakanlığın bilgi sisteminde muhafaza edilir. Bakanlık elektronik defter dosyalarının güvenli bir şekilde saklanmasını, gizliliğini, değişmezliğini, erişilebilirliğini ve bütünlüğünü, Kullanıcı denetiminin şifre ve diğer güvenlik mekanizmaları ile elektronik ortamda gerçekleştirilmesini, her işleme ait logların kayıt altına alınmasını sağlamakla yükümlüdür.</w:t>
      </w:r>
      <w:r>
        <w:t>”</w:t>
      </w:r>
    </w:p>
    <w:p w14:paraId="6405242F" w14:textId="1EF6AAF5" w:rsidR="00762B32" w:rsidRDefault="00593C2E" w:rsidP="00F27D5D">
      <w:pPr>
        <w:jc w:val="both"/>
      </w:pPr>
      <w:r>
        <w:t xml:space="preserve">Yapılan bu açıklamalar çerçevesinde 01. Temmuz 2025 tarihinden itibaren aşağıda belirtilen şirketler </w:t>
      </w:r>
      <w:r w:rsidRPr="00593C2E">
        <w:t>pay defteri, yönetim kurulu karar defteri, müdürler kurulu karar defteri ile genel kurul toplantı ve müzakere defterini</w:t>
      </w:r>
      <w:r>
        <w:t xml:space="preserve"> elektronik ortamda tutacaklardır.</w:t>
      </w:r>
    </w:p>
    <w:p w14:paraId="129A80C1" w14:textId="0814108F" w:rsidR="00593C2E" w:rsidRDefault="00593C2E" w:rsidP="00315BD8">
      <w:r w:rsidRPr="00704789">
        <w:rPr>
          <w:b/>
          <w:bCs/>
        </w:rPr>
        <w:t xml:space="preserve">1. </w:t>
      </w:r>
      <w:r>
        <w:t>0</w:t>
      </w:r>
      <w:r w:rsidRPr="00427DCB">
        <w:t>1</w:t>
      </w:r>
      <w:r>
        <w:t>.0</w:t>
      </w:r>
      <w:r w:rsidRPr="00427DCB">
        <w:t>1</w:t>
      </w:r>
      <w:r>
        <w:t>.</w:t>
      </w:r>
      <w:r w:rsidRPr="00427DCB">
        <w:t>2026 tarihinden itibaren kuruluşu ticaret siciline tescil edilen şirketler.</w:t>
      </w:r>
    </w:p>
    <w:p w14:paraId="03C12E5C" w14:textId="77777777" w:rsidR="00593C2E" w:rsidRDefault="00593C2E" w:rsidP="00593C2E">
      <w:pPr>
        <w:shd w:val="clear" w:color="auto" w:fill="FFFFFF" w:themeFill="background1"/>
      </w:pPr>
      <w:r w:rsidRPr="00704789">
        <w:rPr>
          <w:b/>
          <w:bCs/>
        </w:rPr>
        <w:t>2.</w:t>
      </w:r>
      <w:r>
        <w:t xml:space="preserve"> </w:t>
      </w:r>
      <w:r w:rsidRPr="00427DCB">
        <w:t>Bankalar</w:t>
      </w:r>
    </w:p>
    <w:p w14:paraId="758BD3BF" w14:textId="77777777" w:rsidR="00593C2E" w:rsidRDefault="00593C2E" w:rsidP="00593C2E">
      <w:pPr>
        <w:shd w:val="clear" w:color="auto" w:fill="FFFFFF" w:themeFill="background1"/>
      </w:pPr>
      <w:r w:rsidRPr="00704789">
        <w:rPr>
          <w:b/>
          <w:bCs/>
        </w:rPr>
        <w:t>3.</w:t>
      </w:r>
      <w:r>
        <w:t xml:space="preserve"> F</w:t>
      </w:r>
      <w:r w:rsidRPr="00427DCB">
        <w:t>inansal kiralama şirketleri</w:t>
      </w:r>
    </w:p>
    <w:p w14:paraId="279DE614" w14:textId="7E24FABB" w:rsidR="00593C2E" w:rsidRDefault="00660A5B" w:rsidP="00593C2E">
      <w:pPr>
        <w:shd w:val="clear" w:color="auto" w:fill="FFFFFF" w:themeFill="background1"/>
      </w:pPr>
      <w:r w:rsidRPr="00704789">
        <w:rPr>
          <w:b/>
          <w:bCs/>
        </w:rPr>
        <w:t>4</w:t>
      </w:r>
      <w:r w:rsidR="00593C2E" w:rsidRPr="00704789">
        <w:rPr>
          <w:b/>
          <w:bCs/>
        </w:rPr>
        <w:t>.</w:t>
      </w:r>
      <w:r w:rsidR="00593C2E">
        <w:t xml:space="preserve"> </w:t>
      </w:r>
      <w:proofErr w:type="spellStart"/>
      <w:r w:rsidR="00593C2E">
        <w:t>F</w:t>
      </w:r>
      <w:r w:rsidR="00593C2E" w:rsidRPr="00427DCB">
        <w:t>aktoring</w:t>
      </w:r>
      <w:proofErr w:type="spellEnd"/>
      <w:r w:rsidR="00593C2E" w:rsidRPr="00427DCB">
        <w:t> şirketleri</w:t>
      </w:r>
    </w:p>
    <w:p w14:paraId="6DB4ACF1" w14:textId="6BCE1B99" w:rsidR="00593C2E" w:rsidRDefault="00660A5B" w:rsidP="00593C2E">
      <w:pPr>
        <w:shd w:val="clear" w:color="auto" w:fill="FFFFFF" w:themeFill="background1"/>
      </w:pPr>
      <w:r w:rsidRPr="00704789">
        <w:rPr>
          <w:b/>
          <w:bCs/>
        </w:rPr>
        <w:t>5</w:t>
      </w:r>
      <w:r w:rsidR="00593C2E" w:rsidRPr="00704789">
        <w:rPr>
          <w:b/>
          <w:bCs/>
        </w:rPr>
        <w:t>.</w:t>
      </w:r>
      <w:r w:rsidR="00593C2E">
        <w:t xml:space="preserve"> T</w:t>
      </w:r>
      <w:r w:rsidR="00593C2E" w:rsidRPr="00427DCB">
        <w:t>üketici finansmanı ve kart hizmetleri şirketleri</w:t>
      </w:r>
    </w:p>
    <w:p w14:paraId="496FC839" w14:textId="408FB81C" w:rsidR="00593C2E" w:rsidRDefault="00660A5B" w:rsidP="00593C2E">
      <w:pPr>
        <w:shd w:val="clear" w:color="auto" w:fill="FFFFFF" w:themeFill="background1"/>
      </w:pPr>
      <w:r w:rsidRPr="00704789">
        <w:rPr>
          <w:b/>
          <w:bCs/>
        </w:rPr>
        <w:t>6</w:t>
      </w:r>
      <w:r w:rsidR="00593C2E" w:rsidRPr="00704789">
        <w:rPr>
          <w:b/>
          <w:bCs/>
        </w:rPr>
        <w:t>.</w:t>
      </w:r>
      <w:r w:rsidR="00593C2E" w:rsidRPr="00427DCB">
        <w:t xml:space="preserve"> </w:t>
      </w:r>
      <w:r w:rsidR="00593C2E">
        <w:t>V</w:t>
      </w:r>
      <w:r w:rsidR="00593C2E" w:rsidRPr="00427DCB">
        <w:t>arlık yönetim şirketleri</w:t>
      </w:r>
    </w:p>
    <w:p w14:paraId="22ED2D2B" w14:textId="0D73A4B8" w:rsidR="00593C2E" w:rsidRDefault="00660A5B" w:rsidP="00593C2E">
      <w:pPr>
        <w:shd w:val="clear" w:color="auto" w:fill="FFFFFF" w:themeFill="background1"/>
      </w:pPr>
      <w:r w:rsidRPr="00704789">
        <w:rPr>
          <w:b/>
          <w:bCs/>
        </w:rPr>
        <w:t>7</w:t>
      </w:r>
      <w:r w:rsidR="00593C2E" w:rsidRPr="00704789">
        <w:rPr>
          <w:b/>
          <w:bCs/>
        </w:rPr>
        <w:t>.</w:t>
      </w:r>
      <w:r w:rsidR="00593C2E" w:rsidRPr="00427DCB">
        <w:t xml:space="preserve"> </w:t>
      </w:r>
      <w:r w:rsidR="00593C2E">
        <w:t>S</w:t>
      </w:r>
      <w:r w:rsidR="00593C2E" w:rsidRPr="00427DCB">
        <w:t>igorta şirketleri</w:t>
      </w:r>
    </w:p>
    <w:p w14:paraId="3F245B65" w14:textId="40EF9716" w:rsidR="00593C2E" w:rsidRDefault="00660A5B" w:rsidP="00593C2E">
      <w:pPr>
        <w:shd w:val="clear" w:color="auto" w:fill="FFFFFF" w:themeFill="background1"/>
      </w:pPr>
      <w:r w:rsidRPr="00704789">
        <w:rPr>
          <w:b/>
          <w:bCs/>
        </w:rPr>
        <w:t>8</w:t>
      </w:r>
      <w:r w:rsidR="00593C2E" w:rsidRPr="00704789">
        <w:rPr>
          <w:b/>
          <w:bCs/>
        </w:rPr>
        <w:t>.</w:t>
      </w:r>
      <w:r w:rsidR="00593C2E" w:rsidRPr="00427DCB">
        <w:t xml:space="preserve"> </w:t>
      </w:r>
      <w:r w:rsidR="00593C2E">
        <w:t>A</w:t>
      </w:r>
      <w:r w:rsidR="00593C2E" w:rsidRPr="00427DCB">
        <w:t>nonim şirket şeklinde kurulan holdingler</w:t>
      </w:r>
    </w:p>
    <w:p w14:paraId="49DD6153" w14:textId="5F73C247" w:rsidR="00593C2E" w:rsidRDefault="00660A5B" w:rsidP="00593C2E">
      <w:pPr>
        <w:shd w:val="clear" w:color="auto" w:fill="FFFFFF" w:themeFill="background1"/>
      </w:pPr>
      <w:r w:rsidRPr="00704789">
        <w:rPr>
          <w:b/>
          <w:bCs/>
        </w:rPr>
        <w:t>9</w:t>
      </w:r>
      <w:r w:rsidR="00593C2E" w:rsidRPr="00704789">
        <w:rPr>
          <w:b/>
          <w:bCs/>
        </w:rPr>
        <w:t>.</w:t>
      </w:r>
      <w:r w:rsidR="00593C2E">
        <w:t xml:space="preserve"> D</w:t>
      </w:r>
      <w:r w:rsidR="00593C2E" w:rsidRPr="00427DCB">
        <w:t>öviz büfesi işleten şirketler</w:t>
      </w:r>
    </w:p>
    <w:p w14:paraId="259DAA3F" w14:textId="639CD50C" w:rsidR="00593C2E" w:rsidRDefault="00660A5B" w:rsidP="00593C2E">
      <w:pPr>
        <w:shd w:val="clear" w:color="auto" w:fill="FFFFFF" w:themeFill="background1"/>
      </w:pPr>
      <w:r w:rsidRPr="00704789">
        <w:rPr>
          <w:b/>
          <w:bCs/>
        </w:rPr>
        <w:t>10</w:t>
      </w:r>
      <w:r w:rsidR="00593C2E" w:rsidRPr="00704789">
        <w:rPr>
          <w:b/>
          <w:bCs/>
        </w:rPr>
        <w:t>.</w:t>
      </w:r>
      <w:r w:rsidR="00593C2E">
        <w:t xml:space="preserve"> U</w:t>
      </w:r>
      <w:r w:rsidR="00593C2E" w:rsidRPr="00427DCB">
        <w:t>mumi mağazacılıkla uğraşan şirketler</w:t>
      </w:r>
    </w:p>
    <w:p w14:paraId="3E3D7CE8" w14:textId="0A1AF6EA" w:rsidR="00593C2E" w:rsidRDefault="00593C2E" w:rsidP="00593C2E">
      <w:pPr>
        <w:shd w:val="clear" w:color="auto" w:fill="FFFFFF" w:themeFill="background1"/>
      </w:pPr>
      <w:r w:rsidRPr="00704789">
        <w:rPr>
          <w:b/>
          <w:bCs/>
        </w:rPr>
        <w:t>1</w:t>
      </w:r>
      <w:r w:rsidR="00660A5B" w:rsidRPr="00704789">
        <w:rPr>
          <w:b/>
          <w:bCs/>
        </w:rPr>
        <w:t>1</w:t>
      </w:r>
      <w:r w:rsidRPr="00704789">
        <w:rPr>
          <w:b/>
          <w:bCs/>
        </w:rPr>
        <w:t>.</w:t>
      </w:r>
      <w:r w:rsidRPr="00427DCB">
        <w:t xml:space="preserve"> </w:t>
      </w:r>
      <w:r>
        <w:t>T</w:t>
      </w:r>
      <w:r w:rsidRPr="00427DCB">
        <w:t>arım ürünleri lisanslı depoculuk şirketleri</w:t>
      </w:r>
    </w:p>
    <w:p w14:paraId="3A6E1B8F" w14:textId="728EA9E6" w:rsidR="00593C2E" w:rsidRDefault="00593C2E" w:rsidP="00593C2E">
      <w:pPr>
        <w:shd w:val="clear" w:color="auto" w:fill="FFFFFF" w:themeFill="background1"/>
      </w:pPr>
      <w:r w:rsidRPr="00704789">
        <w:rPr>
          <w:b/>
          <w:bCs/>
        </w:rPr>
        <w:t>1</w:t>
      </w:r>
      <w:r w:rsidR="00660A5B" w:rsidRPr="00704789">
        <w:rPr>
          <w:b/>
          <w:bCs/>
        </w:rPr>
        <w:t>2</w:t>
      </w:r>
      <w:r w:rsidRPr="00704789">
        <w:rPr>
          <w:b/>
          <w:bCs/>
        </w:rPr>
        <w:t>.</w:t>
      </w:r>
      <w:r w:rsidRPr="00427DCB">
        <w:t xml:space="preserve"> </w:t>
      </w:r>
      <w:r>
        <w:t>Ü</w:t>
      </w:r>
      <w:r w:rsidRPr="00427DCB">
        <w:t>rün ihtisas borsası şirketleri</w:t>
      </w:r>
    </w:p>
    <w:p w14:paraId="02B19BDD" w14:textId="60A389C6" w:rsidR="00593C2E" w:rsidRDefault="00593C2E" w:rsidP="00593C2E">
      <w:pPr>
        <w:shd w:val="clear" w:color="auto" w:fill="FFFFFF" w:themeFill="background1"/>
      </w:pPr>
      <w:r w:rsidRPr="00704789">
        <w:rPr>
          <w:b/>
          <w:bCs/>
        </w:rPr>
        <w:t>1</w:t>
      </w:r>
      <w:r w:rsidR="00660A5B" w:rsidRPr="00704789">
        <w:rPr>
          <w:b/>
          <w:bCs/>
        </w:rPr>
        <w:t>3</w:t>
      </w:r>
      <w:r w:rsidRPr="00704789">
        <w:rPr>
          <w:b/>
          <w:bCs/>
        </w:rPr>
        <w:t>.</w:t>
      </w:r>
      <w:r w:rsidRPr="00427DCB">
        <w:t xml:space="preserve"> </w:t>
      </w:r>
      <w:r>
        <w:t>B</w:t>
      </w:r>
      <w:r w:rsidRPr="00427DCB">
        <w:t>ağımsız denetim şirketleri</w:t>
      </w:r>
    </w:p>
    <w:p w14:paraId="1AFFCAFE" w14:textId="1FDA373A" w:rsidR="00593C2E" w:rsidRDefault="00593C2E" w:rsidP="00593C2E">
      <w:pPr>
        <w:shd w:val="clear" w:color="auto" w:fill="FFFFFF" w:themeFill="background1"/>
      </w:pPr>
      <w:r w:rsidRPr="00704789">
        <w:rPr>
          <w:b/>
          <w:bCs/>
        </w:rPr>
        <w:t>1</w:t>
      </w:r>
      <w:r w:rsidR="00660A5B" w:rsidRPr="00704789">
        <w:rPr>
          <w:b/>
          <w:bCs/>
        </w:rPr>
        <w:t>4</w:t>
      </w:r>
      <w:r w:rsidRPr="00704789">
        <w:rPr>
          <w:b/>
          <w:bCs/>
        </w:rPr>
        <w:t>.</w:t>
      </w:r>
      <w:r w:rsidRPr="00427DCB">
        <w:t xml:space="preserve"> </w:t>
      </w:r>
      <w:r>
        <w:t>G</w:t>
      </w:r>
      <w:r w:rsidRPr="00427DCB">
        <w:t>özetim şirketleri</w:t>
      </w:r>
    </w:p>
    <w:p w14:paraId="2EA190BF" w14:textId="48EDDEA5" w:rsidR="00593C2E" w:rsidRDefault="00593C2E" w:rsidP="00593C2E">
      <w:pPr>
        <w:shd w:val="clear" w:color="auto" w:fill="FFFFFF" w:themeFill="background1"/>
      </w:pPr>
      <w:r w:rsidRPr="00704789">
        <w:rPr>
          <w:b/>
          <w:bCs/>
        </w:rPr>
        <w:t>1</w:t>
      </w:r>
      <w:r w:rsidR="00660A5B" w:rsidRPr="00704789">
        <w:rPr>
          <w:b/>
          <w:bCs/>
        </w:rPr>
        <w:t>5</w:t>
      </w:r>
      <w:r w:rsidRPr="00704789">
        <w:rPr>
          <w:b/>
          <w:bCs/>
        </w:rPr>
        <w:t>.</w:t>
      </w:r>
      <w:r w:rsidRPr="00427DCB">
        <w:t xml:space="preserve"> </w:t>
      </w:r>
      <w:r>
        <w:t>T</w:t>
      </w:r>
      <w:r w:rsidRPr="00427DCB">
        <w:t>eknoloji geliştirme bölgesi yönetici şirketleri</w:t>
      </w:r>
    </w:p>
    <w:p w14:paraId="02262574" w14:textId="0F7FE5FC" w:rsidR="00362C82" w:rsidRDefault="00593C2E" w:rsidP="00593C2E">
      <w:pPr>
        <w:shd w:val="clear" w:color="auto" w:fill="FFFFFF" w:themeFill="background1"/>
      </w:pPr>
      <w:r w:rsidRPr="00704789">
        <w:rPr>
          <w:b/>
          <w:bCs/>
        </w:rPr>
        <w:t>1</w:t>
      </w:r>
      <w:r w:rsidR="00660A5B" w:rsidRPr="00704789">
        <w:rPr>
          <w:b/>
          <w:bCs/>
        </w:rPr>
        <w:t>6</w:t>
      </w:r>
      <w:r w:rsidRPr="00704789">
        <w:rPr>
          <w:b/>
          <w:bCs/>
        </w:rPr>
        <w:t>.</w:t>
      </w:r>
      <w:r w:rsidRPr="00427DCB">
        <w:t xml:space="preserve"> 28/7/1981 tarihli ve 2499 sayılı Sermaye Piyasası Kanununa tabi şirketler </w:t>
      </w:r>
    </w:p>
    <w:p w14:paraId="7545A201" w14:textId="17258A13" w:rsidR="00AB7924" w:rsidRDefault="00362C82" w:rsidP="00A720C0">
      <w:pPr>
        <w:shd w:val="clear" w:color="auto" w:fill="FFFFFF" w:themeFill="background1"/>
        <w:rPr>
          <w:sz w:val="26"/>
          <w:szCs w:val="26"/>
        </w:rPr>
      </w:pPr>
      <w:r w:rsidRPr="00704789">
        <w:rPr>
          <w:b/>
          <w:bCs/>
        </w:rPr>
        <w:t>1</w:t>
      </w:r>
      <w:r w:rsidR="00660A5B" w:rsidRPr="00704789">
        <w:rPr>
          <w:b/>
          <w:bCs/>
        </w:rPr>
        <w:t>7</w:t>
      </w:r>
      <w:r w:rsidRPr="00704789">
        <w:rPr>
          <w:b/>
          <w:bCs/>
        </w:rPr>
        <w:t>.</w:t>
      </w:r>
      <w:r>
        <w:t xml:space="preserve"> S</w:t>
      </w:r>
      <w:r w:rsidR="00593C2E" w:rsidRPr="00427DCB">
        <w:t>erbest bölge kurucusu ve işleticisi şirketler</w:t>
      </w:r>
      <w:r>
        <w:t>.</w:t>
      </w:r>
    </w:p>
    <w:p w14:paraId="23293656" w14:textId="77777777" w:rsidR="004C518D" w:rsidRDefault="004C518D" w:rsidP="00730E2B">
      <w:pPr>
        <w:jc w:val="both"/>
        <w:rPr>
          <w:sz w:val="26"/>
          <w:szCs w:val="26"/>
        </w:rPr>
      </w:pPr>
    </w:p>
    <w:sectPr w:rsidR="004C518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7A6A" w14:textId="77777777" w:rsidR="00E21C95" w:rsidRDefault="00E21C95" w:rsidP="00F27D5D">
      <w:pPr>
        <w:spacing w:after="0" w:line="240" w:lineRule="auto"/>
      </w:pPr>
      <w:r>
        <w:separator/>
      </w:r>
    </w:p>
  </w:endnote>
  <w:endnote w:type="continuationSeparator" w:id="0">
    <w:p w14:paraId="0883E2BC" w14:textId="77777777" w:rsidR="00E21C95" w:rsidRDefault="00E21C95" w:rsidP="00F2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65CF" w14:textId="77777777" w:rsidR="009D15AA" w:rsidRDefault="009D15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453811"/>
      <w:docPartObj>
        <w:docPartGallery w:val="Page Numbers (Bottom of Page)"/>
        <w:docPartUnique/>
      </w:docPartObj>
    </w:sdtPr>
    <w:sdtEndPr/>
    <w:sdtContent>
      <w:p w14:paraId="73560D98" w14:textId="0F87A44B" w:rsidR="00F27D5D" w:rsidRDefault="00F27D5D">
        <w:pPr>
          <w:pStyle w:val="AltBilgi"/>
          <w:jc w:val="right"/>
        </w:pPr>
        <w:r>
          <w:fldChar w:fldCharType="begin"/>
        </w:r>
        <w:r>
          <w:instrText>PAGE   \* MERGEFORMAT</w:instrText>
        </w:r>
        <w:r>
          <w:fldChar w:fldCharType="separate"/>
        </w:r>
        <w:r>
          <w:t>2</w:t>
        </w:r>
        <w:r>
          <w:fldChar w:fldCharType="end"/>
        </w:r>
      </w:p>
    </w:sdtContent>
  </w:sdt>
  <w:p w14:paraId="4AF63E42" w14:textId="77777777" w:rsidR="00F27D5D" w:rsidRDefault="00F27D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74E2" w14:textId="77777777" w:rsidR="009D15AA" w:rsidRDefault="009D15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20D4" w14:textId="77777777" w:rsidR="00E21C95" w:rsidRDefault="00E21C95" w:rsidP="00F27D5D">
      <w:pPr>
        <w:spacing w:after="0" w:line="240" w:lineRule="auto"/>
      </w:pPr>
      <w:r>
        <w:separator/>
      </w:r>
    </w:p>
  </w:footnote>
  <w:footnote w:type="continuationSeparator" w:id="0">
    <w:p w14:paraId="536835A5" w14:textId="77777777" w:rsidR="00E21C95" w:rsidRDefault="00E21C95" w:rsidP="00F2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CED7" w14:textId="77777777" w:rsidR="009D15AA" w:rsidRDefault="009D15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EAB" w14:textId="77777777" w:rsidR="009D15AA" w:rsidRPr="0033768F" w:rsidRDefault="009D15AA" w:rsidP="009D15AA">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04F6CA57" w14:textId="77777777" w:rsidR="009D15AA" w:rsidRPr="0033768F" w:rsidRDefault="009D15AA" w:rsidP="009D15AA">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071E125E" w14:textId="77777777" w:rsidR="009D15AA" w:rsidRDefault="009D15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CFEB" w14:textId="77777777" w:rsidR="009D15AA" w:rsidRDefault="009D15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0"/>
    <w:rsid w:val="000276ED"/>
    <w:rsid w:val="000602F6"/>
    <w:rsid w:val="000701E4"/>
    <w:rsid w:val="000E65A2"/>
    <w:rsid w:val="001B59D3"/>
    <w:rsid w:val="0027580C"/>
    <w:rsid w:val="00315BD8"/>
    <w:rsid w:val="003202AF"/>
    <w:rsid w:val="00362C82"/>
    <w:rsid w:val="00427DCB"/>
    <w:rsid w:val="004B0282"/>
    <w:rsid w:val="004C518D"/>
    <w:rsid w:val="00593C2E"/>
    <w:rsid w:val="005C7659"/>
    <w:rsid w:val="005D2857"/>
    <w:rsid w:val="006312B8"/>
    <w:rsid w:val="00660A5B"/>
    <w:rsid w:val="00692DBD"/>
    <w:rsid w:val="00704789"/>
    <w:rsid w:val="00730E2B"/>
    <w:rsid w:val="00762B32"/>
    <w:rsid w:val="00794D3A"/>
    <w:rsid w:val="00897CCE"/>
    <w:rsid w:val="008B2160"/>
    <w:rsid w:val="009B6807"/>
    <w:rsid w:val="009D15AA"/>
    <w:rsid w:val="00A720C0"/>
    <w:rsid w:val="00AB7924"/>
    <w:rsid w:val="00B10114"/>
    <w:rsid w:val="00C23507"/>
    <w:rsid w:val="00C841A9"/>
    <w:rsid w:val="00CC5E10"/>
    <w:rsid w:val="00E21C95"/>
    <w:rsid w:val="00E67999"/>
    <w:rsid w:val="00E7239A"/>
    <w:rsid w:val="00E74718"/>
    <w:rsid w:val="00E94D3B"/>
    <w:rsid w:val="00F27D5D"/>
    <w:rsid w:val="00FB2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581B"/>
  <w15:chartTrackingRefBased/>
  <w15:docId w15:val="{A648D4D3-0C7C-43B6-8F45-4950148C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10"/>
  </w:style>
  <w:style w:type="paragraph" w:styleId="Balk1">
    <w:name w:val="heading 1"/>
    <w:basedOn w:val="Normal"/>
    <w:next w:val="Normal"/>
    <w:link w:val="Balk1Char"/>
    <w:uiPriority w:val="9"/>
    <w:qFormat/>
    <w:rsid w:val="00CC5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C5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C5E1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C5E1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C5E1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C5E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5E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5E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5E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5E1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C5E1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C5E1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C5E1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C5E1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C5E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5E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5E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5E10"/>
    <w:rPr>
      <w:rFonts w:eastAsiaTheme="majorEastAsia" w:cstheme="majorBidi"/>
      <w:color w:val="272727" w:themeColor="text1" w:themeTint="D8"/>
    </w:rPr>
  </w:style>
  <w:style w:type="paragraph" w:styleId="KonuBal">
    <w:name w:val="Title"/>
    <w:basedOn w:val="Normal"/>
    <w:next w:val="Normal"/>
    <w:link w:val="KonuBalChar"/>
    <w:uiPriority w:val="10"/>
    <w:qFormat/>
    <w:rsid w:val="00CC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5E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5E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5E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5E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5E10"/>
    <w:rPr>
      <w:i/>
      <w:iCs/>
      <w:color w:val="404040" w:themeColor="text1" w:themeTint="BF"/>
    </w:rPr>
  </w:style>
  <w:style w:type="paragraph" w:styleId="ListeParagraf">
    <w:name w:val="List Paragraph"/>
    <w:basedOn w:val="Normal"/>
    <w:uiPriority w:val="34"/>
    <w:qFormat/>
    <w:rsid w:val="00CC5E10"/>
    <w:pPr>
      <w:ind w:left="720"/>
      <w:contextualSpacing/>
    </w:pPr>
  </w:style>
  <w:style w:type="character" w:styleId="GlVurgulama">
    <w:name w:val="Intense Emphasis"/>
    <w:basedOn w:val="VarsaylanParagrafYazTipi"/>
    <w:uiPriority w:val="21"/>
    <w:qFormat/>
    <w:rsid w:val="00CC5E10"/>
    <w:rPr>
      <w:i/>
      <w:iCs/>
      <w:color w:val="2F5496" w:themeColor="accent1" w:themeShade="BF"/>
    </w:rPr>
  </w:style>
  <w:style w:type="paragraph" w:styleId="GlAlnt">
    <w:name w:val="Intense Quote"/>
    <w:basedOn w:val="Normal"/>
    <w:next w:val="Normal"/>
    <w:link w:val="GlAlntChar"/>
    <w:uiPriority w:val="30"/>
    <w:qFormat/>
    <w:rsid w:val="00CC5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C5E10"/>
    <w:rPr>
      <w:i/>
      <w:iCs/>
      <w:color w:val="2F5496" w:themeColor="accent1" w:themeShade="BF"/>
    </w:rPr>
  </w:style>
  <w:style w:type="character" w:styleId="GlBavuru">
    <w:name w:val="Intense Reference"/>
    <w:basedOn w:val="VarsaylanParagrafYazTipi"/>
    <w:uiPriority w:val="32"/>
    <w:qFormat/>
    <w:rsid w:val="00CC5E10"/>
    <w:rPr>
      <w:b/>
      <w:bCs/>
      <w:smallCaps/>
      <w:color w:val="2F5496" w:themeColor="accent1" w:themeShade="BF"/>
      <w:spacing w:val="5"/>
    </w:rPr>
  </w:style>
  <w:style w:type="paragraph" w:styleId="NormalWeb">
    <w:name w:val="Normal (Web)"/>
    <w:basedOn w:val="Normal"/>
    <w:uiPriority w:val="99"/>
    <w:semiHidden/>
    <w:unhideWhenUsed/>
    <w:rsid w:val="003202AF"/>
    <w:rPr>
      <w:rFonts w:ascii="Times New Roman" w:hAnsi="Times New Roman" w:cs="Times New Roman"/>
      <w:sz w:val="24"/>
      <w:szCs w:val="24"/>
    </w:rPr>
  </w:style>
  <w:style w:type="paragraph" w:styleId="stBilgi">
    <w:name w:val="header"/>
    <w:basedOn w:val="Normal"/>
    <w:link w:val="stBilgiChar"/>
    <w:uiPriority w:val="99"/>
    <w:unhideWhenUsed/>
    <w:rsid w:val="00F27D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7D5D"/>
  </w:style>
  <w:style w:type="paragraph" w:styleId="AltBilgi">
    <w:name w:val="footer"/>
    <w:basedOn w:val="Normal"/>
    <w:link w:val="AltBilgiChar"/>
    <w:uiPriority w:val="99"/>
    <w:unhideWhenUsed/>
    <w:rsid w:val="00F27D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7044">
      <w:bodyDiv w:val="1"/>
      <w:marLeft w:val="0"/>
      <w:marRight w:val="0"/>
      <w:marTop w:val="0"/>
      <w:marBottom w:val="0"/>
      <w:divBdr>
        <w:top w:val="none" w:sz="0" w:space="0" w:color="auto"/>
        <w:left w:val="none" w:sz="0" w:space="0" w:color="auto"/>
        <w:bottom w:val="none" w:sz="0" w:space="0" w:color="auto"/>
        <w:right w:val="none" w:sz="0" w:space="0" w:color="auto"/>
      </w:divBdr>
    </w:div>
    <w:div w:id="319886906">
      <w:bodyDiv w:val="1"/>
      <w:marLeft w:val="0"/>
      <w:marRight w:val="0"/>
      <w:marTop w:val="0"/>
      <w:marBottom w:val="0"/>
      <w:divBdr>
        <w:top w:val="none" w:sz="0" w:space="0" w:color="auto"/>
        <w:left w:val="none" w:sz="0" w:space="0" w:color="auto"/>
        <w:bottom w:val="none" w:sz="0" w:space="0" w:color="auto"/>
        <w:right w:val="none" w:sz="0" w:space="0" w:color="auto"/>
      </w:divBdr>
    </w:div>
    <w:div w:id="335155743">
      <w:bodyDiv w:val="1"/>
      <w:marLeft w:val="0"/>
      <w:marRight w:val="0"/>
      <w:marTop w:val="0"/>
      <w:marBottom w:val="0"/>
      <w:divBdr>
        <w:top w:val="none" w:sz="0" w:space="0" w:color="auto"/>
        <w:left w:val="none" w:sz="0" w:space="0" w:color="auto"/>
        <w:bottom w:val="none" w:sz="0" w:space="0" w:color="auto"/>
        <w:right w:val="none" w:sz="0" w:space="0" w:color="auto"/>
      </w:divBdr>
    </w:div>
    <w:div w:id="561870611">
      <w:bodyDiv w:val="1"/>
      <w:marLeft w:val="0"/>
      <w:marRight w:val="0"/>
      <w:marTop w:val="0"/>
      <w:marBottom w:val="0"/>
      <w:divBdr>
        <w:top w:val="none" w:sz="0" w:space="0" w:color="auto"/>
        <w:left w:val="none" w:sz="0" w:space="0" w:color="auto"/>
        <w:bottom w:val="none" w:sz="0" w:space="0" w:color="auto"/>
        <w:right w:val="none" w:sz="0" w:space="0" w:color="auto"/>
      </w:divBdr>
    </w:div>
    <w:div w:id="713502042">
      <w:bodyDiv w:val="1"/>
      <w:marLeft w:val="0"/>
      <w:marRight w:val="0"/>
      <w:marTop w:val="0"/>
      <w:marBottom w:val="0"/>
      <w:divBdr>
        <w:top w:val="none" w:sz="0" w:space="0" w:color="auto"/>
        <w:left w:val="none" w:sz="0" w:space="0" w:color="auto"/>
        <w:bottom w:val="none" w:sz="0" w:space="0" w:color="auto"/>
        <w:right w:val="none" w:sz="0" w:space="0" w:color="auto"/>
      </w:divBdr>
    </w:div>
    <w:div w:id="734549574">
      <w:bodyDiv w:val="1"/>
      <w:marLeft w:val="0"/>
      <w:marRight w:val="0"/>
      <w:marTop w:val="0"/>
      <w:marBottom w:val="0"/>
      <w:divBdr>
        <w:top w:val="none" w:sz="0" w:space="0" w:color="auto"/>
        <w:left w:val="none" w:sz="0" w:space="0" w:color="auto"/>
        <w:bottom w:val="none" w:sz="0" w:space="0" w:color="auto"/>
        <w:right w:val="none" w:sz="0" w:space="0" w:color="auto"/>
      </w:divBdr>
    </w:div>
    <w:div w:id="845169522">
      <w:bodyDiv w:val="1"/>
      <w:marLeft w:val="0"/>
      <w:marRight w:val="0"/>
      <w:marTop w:val="0"/>
      <w:marBottom w:val="0"/>
      <w:divBdr>
        <w:top w:val="none" w:sz="0" w:space="0" w:color="auto"/>
        <w:left w:val="none" w:sz="0" w:space="0" w:color="auto"/>
        <w:bottom w:val="none" w:sz="0" w:space="0" w:color="auto"/>
        <w:right w:val="none" w:sz="0" w:space="0" w:color="auto"/>
      </w:divBdr>
    </w:div>
    <w:div w:id="1028069338">
      <w:bodyDiv w:val="1"/>
      <w:marLeft w:val="0"/>
      <w:marRight w:val="0"/>
      <w:marTop w:val="0"/>
      <w:marBottom w:val="0"/>
      <w:divBdr>
        <w:top w:val="none" w:sz="0" w:space="0" w:color="auto"/>
        <w:left w:val="none" w:sz="0" w:space="0" w:color="auto"/>
        <w:bottom w:val="none" w:sz="0" w:space="0" w:color="auto"/>
        <w:right w:val="none" w:sz="0" w:space="0" w:color="auto"/>
      </w:divBdr>
    </w:div>
    <w:div w:id="1278369927">
      <w:bodyDiv w:val="1"/>
      <w:marLeft w:val="0"/>
      <w:marRight w:val="0"/>
      <w:marTop w:val="0"/>
      <w:marBottom w:val="0"/>
      <w:divBdr>
        <w:top w:val="none" w:sz="0" w:space="0" w:color="auto"/>
        <w:left w:val="none" w:sz="0" w:space="0" w:color="auto"/>
        <w:bottom w:val="none" w:sz="0" w:space="0" w:color="auto"/>
        <w:right w:val="none" w:sz="0" w:space="0" w:color="auto"/>
      </w:divBdr>
    </w:div>
    <w:div w:id="1644968434">
      <w:bodyDiv w:val="1"/>
      <w:marLeft w:val="0"/>
      <w:marRight w:val="0"/>
      <w:marTop w:val="0"/>
      <w:marBottom w:val="0"/>
      <w:divBdr>
        <w:top w:val="none" w:sz="0" w:space="0" w:color="auto"/>
        <w:left w:val="none" w:sz="0" w:space="0" w:color="auto"/>
        <w:bottom w:val="none" w:sz="0" w:space="0" w:color="auto"/>
        <w:right w:val="none" w:sz="0" w:space="0" w:color="auto"/>
      </w:divBdr>
    </w:div>
    <w:div w:id="1756508617">
      <w:bodyDiv w:val="1"/>
      <w:marLeft w:val="0"/>
      <w:marRight w:val="0"/>
      <w:marTop w:val="0"/>
      <w:marBottom w:val="0"/>
      <w:divBdr>
        <w:top w:val="none" w:sz="0" w:space="0" w:color="auto"/>
        <w:left w:val="none" w:sz="0" w:space="0" w:color="auto"/>
        <w:bottom w:val="none" w:sz="0" w:space="0" w:color="auto"/>
        <w:right w:val="none" w:sz="0" w:space="0" w:color="auto"/>
      </w:divBdr>
    </w:div>
    <w:div w:id="1960717054">
      <w:bodyDiv w:val="1"/>
      <w:marLeft w:val="0"/>
      <w:marRight w:val="0"/>
      <w:marTop w:val="0"/>
      <w:marBottom w:val="0"/>
      <w:divBdr>
        <w:top w:val="none" w:sz="0" w:space="0" w:color="auto"/>
        <w:left w:val="none" w:sz="0" w:space="0" w:color="auto"/>
        <w:bottom w:val="none" w:sz="0" w:space="0" w:color="auto"/>
        <w:right w:val="none" w:sz="0" w:space="0" w:color="auto"/>
      </w:divBdr>
    </w:div>
    <w:div w:id="2105106289">
      <w:bodyDiv w:val="1"/>
      <w:marLeft w:val="0"/>
      <w:marRight w:val="0"/>
      <w:marTop w:val="0"/>
      <w:marBottom w:val="0"/>
      <w:divBdr>
        <w:top w:val="none" w:sz="0" w:space="0" w:color="auto"/>
        <w:left w:val="none" w:sz="0" w:space="0" w:color="auto"/>
        <w:bottom w:val="none" w:sz="0" w:space="0" w:color="auto"/>
        <w:right w:val="none" w:sz="0" w:space="0" w:color="auto"/>
      </w:divBdr>
    </w:div>
    <w:div w:id="21310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1710</Words>
  <Characters>9749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ATATAS</cp:lastModifiedBy>
  <cp:revision>23</cp:revision>
  <dcterms:created xsi:type="dcterms:W3CDTF">2025-02-15T11:48:00Z</dcterms:created>
  <dcterms:modified xsi:type="dcterms:W3CDTF">2025-02-17T08:20:00Z</dcterms:modified>
</cp:coreProperties>
</file>