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A4B0" w14:textId="6CD85F2B" w:rsidR="00AA0231" w:rsidRDefault="00AA0231" w:rsidP="00AA0231">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ŞUBAT-2</w:t>
      </w:r>
    </w:p>
    <w:p w14:paraId="37D2ADA2" w14:textId="77777777" w:rsidR="00AA0231" w:rsidRDefault="00AA0231" w:rsidP="00AA0231">
      <w:pPr>
        <w:spacing w:after="0" w:line="240" w:lineRule="auto"/>
        <w:jc w:val="center"/>
        <w:rPr>
          <w:b/>
          <w:bCs/>
          <w:sz w:val="18"/>
          <w:szCs w:val="18"/>
        </w:rPr>
      </w:pPr>
      <w:r w:rsidRPr="00B54EDB">
        <w:rPr>
          <w:b/>
          <w:bCs/>
          <w:sz w:val="18"/>
          <w:szCs w:val="18"/>
        </w:rPr>
        <w:t>(</w:t>
      </w:r>
      <w:r>
        <w:rPr>
          <w:b/>
          <w:bCs/>
          <w:sz w:val="18"/>
          <w:szCs w:val="18"/>
        </w:rPr>
        <w:t>06.02.2025</w:t>
      </w:r>
      <w:r w:rsidRPr="00B54EDB">
        <w:rPr>
          <w:b/>
          <w:bCs/>
          <w:sz w:val="18"/>
          <w:szCs w:val="18"/>
        </w:rPr>
        <w:t>)</w:t>
      </w:r>
    </w:p>
    <w:p w14:paraId="285BF473" w14:textId="77777777" w:rsidR="00AA0231" w:rsidRDefault="00AA0231" w:rsidP="00AA0231"/>
    <w:p w14:paraId="0E1CF89D" w14:textId="77777777" w:rsidR="00BD28FF" w:rsidRDefault="00BD28FF" w:rsidP="00AA0231"/>
    <w:p w14:paraId="6ABD9606" w14:textId="77777777" w:rsidR="00AA0231" w:rsidRDefault="00AA0231" w:rsidP="00AA0231">
      <w:pPr>
        <w:jc w:val="both"/>
        <w:rPr>
          <w:b/>
          <w:bCs/>
          <w:sz w:val="26"/>
          <w:szCs w:val="26"/>
        </w:rPr>
      </w:pPr>
      <w:r w:rsidRPr="00C3582F">
        <w:rPr>
          <w:b/>
          <w:bCs/>
          <w:sz w:val="26"/>
          <w:szCs w:val="26"/>
        </w:rPr>
        <w:t>BANKACILIK DÜZENLEME VE DENETLEME KURULU’NUN KARARLARIYLA BAĞIMSIZ DENETİME TABİ ŞİRKETLER İÇİN GETİRİLEN TÜRK LİRASI CİNSİNDEN KREDİ KULLANIMINA İLİŞKİN KISITLAMALAR KALDIRILMIŞTIR</w:t>
      </w:r>
    </w:p>
    <w:p w14:paraId="06315181" w14:textId="77777777" w:rsidR="00AA0231" w:rsidRPr="00C3582F" w:rsidRDefault="00AA0231" w:rsidP="00AA0231">
      <w:pPr>
        <w:jc w:val="both"/>
        <w:rPr>
          <w:b/>
          <w:bCs/>
          <w:sz w:val="26"/>
          <w:szCs w:val="26"/>
        </w:rPr>
      </w:pPr>
    </w:p>
    <w:p w14:paraId="54EFF1E6" w14:textId="77777777" w:rsidR="004736CB" w:rsidRDefault="004736CB" w:rsidP="004736CB">
      <w:pPr>
        <w:spacing w:after="120" w:line="240" w:lineRule="auto"/>
        <w:jc w:val="both"/>
      </w:pPr>
      <w:r>
        <w:t>Zorunlu olarak bağımsız denetime tabi olan şirketlerin yabancı para (YP) varlıklarına bağlı olarak 2022 yılında getirilen kredi kısıtlamaları Bankacılık Düzenleme ve Denetleme Kurulu’nun (BDDK’nın) 06.02.2025 tarihli ve 11145 sayılı Kararı ile tamamen kaldırılmıştır. BDDK’nın internet sitesinde yayınlanan söz konusu karar aynen aşağıdaki gibidir:</w:t>
      </w:r>
    </w:p>
    <w:p w14:paraId="141FE896" w14:textId="77777777" w:rsidR="004736CB" w:rsidRDefault="004736CB" w:rsidP="004736CB">
      <w:pPr>
        <w:spacing w:after="120" w:line="240" w:lineRule="auto"/>
      </w:pPr>
    </w:p>
    <w:p w14:paraId="272A88C7" w14:textId="77777777" w:rsidR="004736CB" w:rsidRPr="00BB18EB" w:rsidRDefault="004736CB" w:rsidP="004736CB">
      <w:pPr>
        <w:shd w:val="clear" w:color="auto" w:fill="F2F2F2" w:themeFill="background1" w:themeFillShade="F2"/>
        <w:spacing w:after="120" w:line="240" w:lineRule="auto"/>
        <w:jc w:val="both"/>
        <w:rPr>
          <w:i/>
          <w:iCs/>
          <w:sz w:val="20"/>
          <w:szCs w:val="20"/>
        </w:rPr>
      </w:pPr>
      <w:r w:rsidRPr="00BB18EB">
        <w:rPr>
          <w:i/>
          <w:iCs/>
          <w:sz w:val="20"/>
          <w:szCs w:val="20"/>
        </w:rPr>
        <w:t>“Kurul Başkanlığı</w:t>
      </w:r>
      <w:r>
        <w:rPr>
          <w:i/>
          <w:iCs/>
          <w:sz w:val="20"/>
          <w:szCs w:val="20"/>
        </w:rPr>
        <w:t>’</w:t>
      </w:r>
      <w:r w:rsidRPr="00BB18EB">
        <w:rPr>
          <w:i/>
          <w:iCs/>
          <w:sz w:val="20"/>
          <w:szCs w:val="20"/>
        </w:rPr>
        <w:t>nın 05.02.2025 tarihli gündem yazısı ekinde gönderilen 04.02.2025 tarih ve E-24049440-010.03-143652 sayılı yazı ve ekinin incelenmesi sonucunda;</w:t>
      </w:r>
    </w:p>
    <w:p w14:paraId="25CDFC4F" w14:textId="77777777" w:rsidR="004736CB" w:rsidRPr="00BB18EB" w:rsidRDefault="004736CB" w:rsidP="004736CB">
      <w:pPr>
        <w:shd w:val="clear" w:color="auto" w:fill="F2F2F2" w:themeFill="background1" w:themeFillShade="F2"/>
        <w:spacing w:after="120" w:line="240" w:lineRule="auto"/>
        <w:jc w:val="both"/>
        <w:rPr>
          <w:i/>
          <w:iCs/>
          <w:sz w:val="20"/>
          <w:szCs w:val="20"/>
        </w:rPr>
      </w:pPr>
      <w:r w:rsidRPr="00BB18EB">
        <w:rPr>
          <w:i/>
          <w:iCs/>
          <w:sz w:val="20"/>
          <w:szCs w:val="20"/>
        </w:rPr>
        <w:t>- 5411 sayılı Bankacılık Kanunu</w:t>
      </w:r>
      <w:r>
        <w:rPr>
          <w:i/>
          <w:iCs/>
          <w:sz w:val="20"/>
          <w:szCs w:val="20"/>
        </w:rPr>
        <w:t>’</w:t>
      </w:r>
      <w:r w:rsidRPr="00BB18EB">
        <w:rPr>
          <w:i/>
          <w:iCs/>
          <w:sz w:val="20"/>
          <w:szCs w:val="20"/>
        </w:rPr>
        <w:t>nun 93</w:t>
      </w:r>
      <w:r>
        <w:rPr>
          <w:i/>
          <w:iCs/>
          <w:sz w:val="20"/>
          <w:szCs w:val="20"/>
        </w:rPr>
        <w:t>’</w:t>
      </w:r>
      <w:r w:rsidRPr="00BB18EB">
        <w:rPr>
          <w:i/>
          <w:iCs/>
          <w:sz w:val="20"/>
          <w:szCs w:val="20"/>
        </w:rPr>
        <w:t xml:space="preserve">üncü maddesine dayanılarak, finansal istikrarın güçlendirilmesine ve kredi sisteminin etkin bir şekilde çalışmasına yönelik atılacak koordineli makro ihtiyati sadeleşme adımları kapsamında; 24/6/2022 tarihli ve 10250 sayılı Kurul Kararının, 7/7/2022 tarihli ve 10265 sayılı Kurul Kararının, 28/9/2022 tarihli ve 10348 sayılı Kurul Kararının, 21/10/2022 tarihli ve 10389 sayılı Kurul Kararının, 4/9/2023 tarihli ve 10659 sayılı Kurul Kararının yürürlükten kaldırılmasına, </w:t>
      </w:r>
    </w:p>
    <w:p w14:paraId="6A551726" w14:textId="77777777" w:rsidR="004736CB" w:rsidRPr="00BB18EB" w:rsidRDefault="004736CB" w:rsidP="004736CB">
      <w:pPr>
        <w:shd w:val="clear" w:color="auto" w:fill="F2F2F2" w:themeFill="background1" w:themeFillShade="F2"/>
        <w:spacing w:after="120" w:line="240" w:lineRule="auto"/>
        <w:jc w:val="both"/>
        <w:rPr>
          <w:i/>
          <w:iCs/>
          <w:sz w:val="20"/>
          <w:szCs w:val="20"/>
        </w:rPr>
      </w:pPr>
      <w:r w:rsidRPr="00BB18EB">
        <w:rPr>
          <w:i/>
          <w:iCs/>
          <w:sz w:val="20"/>
          <w:szCs w:val="20"/>
        </w:rPr>
        <w:t xml:space="preserve">- Bu Kararın Kuruluş Birliklerine duyurulmasına ve Kurumun internet sitesinde yayımlanmasına </w:t>
      </w:r>
    </w:p>
    <w:p w14:paraId="5D65EC56" w14:textId="77777777" w:rsidR="004736CB" w:rsidRPr="00BB18EB" w:rsidRDefault="004736CB" w:rsidP="004736CB">
      <w:pPr>
        <w:shd w:val="clear" w:color="auto" w:fill="F2F2F2" w:themeFill="background1" w:themeFillShade="F2"/>
        <w:spacing w:after="120" w:line="240" w:lineRule="auto"/>
        <w:jc w:val="both"/>
        <w:rPr>
          <w:i/>
          <w:iCs/>
          <w:sz w:val="20"/>
          <w:szCs w:val="20"/>
        </w:rPr>
      </w:pPr>
      <w:proofErr w:type="gramStart"/>
      <w:r w:rsidRPr="00BB18EB">
        <w:rPr>
          <w:i/>
          <w:iCs/>
          <w:sz w:val="20"/>
          <w:szCs w:val="20"/>
        </w:rPr>
        <w:t>karar</w:t>
      </w:r>
      <w:proofErr w:type="gramEnd"/>
      <w:r w:rsidRPr="00BB18EB">
        <w:rPr>
          <w:i/>
          <w:iCs/>
          <w:sz w:val="20"/>
          <w:szCs w:val="20"/>
        </w:rPr>
        <w:t xml:space="preserve"> verilmiştir.”</w:t>
      </w:r>
    </w:p>
    <w:p w14:paraId="2A288FC9" w14:textId="77777777" w:rsidR="004736CB" w:rsidRDefault="004736CB" w:rsidP="004736CB">
      <w:pPr>
        <w:spacing w:after="120" w:line="240" w:lineRule="auto"/>
        <w:jc w:val="both"/>
      </w:pPr>
    </w:p>
    <w:p w14:paraId="7120E51D" w14:textId="77777777" w:rsidR="004736CB" w:rsidRDefault="004736CB" w:rsidP="004736CB">
      <w:pPr>
        <w:spacing w:after="120" w:line="240" w:lineRule="auto"/>
        <w:jc w:val="both"/>
      </w:pPr>
      <w:r>
        <w:t xml:space="preserve">07.07.2022 tarihli ve 10265 sayılı BDDK Kararı ile </w:t>
      </w:r>
      <w:r w:rsidRPr="00E35F8C">
        <w:rPr>
          <w:i/>
          <w:iCs/>
        </w:rPr>
        <w:t>“kredi başvurusu yaptıkları tarih itibariyle yabancı para (YP) nakdi varlıklarının Türk Lirası (TL) karşılığının 15 milyon TL’nin üzerinde olması halinde ve bu şirketlerin YP nakdi varlıklarının, en güncel finansal tablolarına göre aktif toplamından veya son 1 yıllık net satış hasılatından büyük olanının yüzde 10’unu aşması durumunda, söz konusu şirketlere TL cinsinden yeni bir nakdi ticari kredi kullandırılmamaktaydı”.</w:t>
      </w:r>
    </w:p>
    <w:p w14:paraId="1602743C" w14:textId="77777777" w:rsidR="004736CB" w:rsidRDefault="004736CB" w:rsidP="004736CB">
      <w:pPr>
        <w:spacing w:after="120" w:line="240" w:lineRule="auto"/>
        <w:jc w:val="both"/>
      </w:pPr>
    </w:p>
    <w:p w14:paraId="7731EE72" w14:textId="77777777" w:rsidR="004736CB" w:rsidRDefault="004736CB" w:rsidP="004736CB">
      <w:pPr>
        <w:spacing w:after="120" w:line="240" w:lineRule="auto"/>
        <w:jc w:val="both"/>
      </w:pPr>
      <w:r>
        <w:t>BDDK’nın 21.10.2022 tarihli ve 10389 sayılı Kararı ile 01.11.2022 tarihinden geçerli olmak üzere, 15 milyon TL olan YP pozisyonu sınırı 10 milyon TL’ye; yüzde 10 olan oran da yüzde 5’e indirilmişti.</w:t>
      </w:r>
    </w:p>
    <w:p w14:paraId="519584A6" w14:textId="77777777" w:rsidR="004736CB" w:rsidRDefault="004736CB" w:rsidP="004736CB">
      <w:pPr>
        <w:spacing w:after="120" w:line="240" w:lineRule="auto"/>
        <w:jc w:val="both"/>
      </w:pPr>
    </w:p>
    <w:p w14:paraId="700EAA3F" w14:textId="77777777" w:rsidR="004736CB" w:rsidRDefault="004736CB" w:rsidP="004736CB">
      <w:pPr>
        <w:spacing w:after="120" w:line="240" w:lineRule="auto"/>
        <w:jc w:val="both"/>
        <w:rPr>
          <w:b/>
          <w:bCs/>
        </w:rPr>
      </w:pPr>
      <w:r>
        <w:t xml:space="preserve">06.02.2025 tarihli ve 11145 sayılı BDDK Kararı ile söz konusu 07.07.2022 tarihli/10265 sayılı ve 21.10.2022 tarihli/10389 sayılı BDDK Kararları yürürlükten kaldırılmıştır. </w:t>
      </w:r>
      <w:r w:rsidRPr="000C41C1">
        <w:rPr>
          <w:b/>
          <w:bCs/>
        </w:rPr>
        <w:t>Böylece, anılan kısıtlamalar bağımsız denetime tabi şirketler için getirilmiş olduğundan, 06.02.2025 tarihinden itibaren bu şirketlerin TL kredi kullanımında BDDK Kararlarında belirtilen şartlar aranmayacaktır.</w:t>
      </w:r>
    </w:p>
    <w:p w14:paraId="4C22AD04" w14:textId="77777777" w:rsidR="00C23507" w:rsidRDefault="00C23507"/>
    <w:sectPr w:rsidR="00C2350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2C36" w14:textId="77777777" w:rsidR="00E81E48" w:rsidRDefault="00E81E48" w:rsidP="00E81E48">
      <w:pPr>
        <w:spacing w:after="0" w:line="240" w:lineRule="auto"/>
      </w:pPr>
      <w:r>
        <w:separator/>
      </w:r>
    </w:p>
  </w:endnote>
  <w:endnote w:type="continuationSeparator" w:id="0">
    <w:p w14:paraId="2C29928E" w14:textId="77777777" w:rsidR="00E81E48" w:rsidRDefault="00E81E48" w:rsidP="00E8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8D48" w14:textId="77777777" w:rsidR="00E81E48" w:rsidRDefault="00E81E48" w:rsidP="00E81E48">
      <w:pPr>
        <w:spacing w:after="0" w:line="240" w:lineRule="auto"/>
      </w:pPr>
      <w:r>
        <w:separator/>
      </w:r>
    </w:p>
  </w:footnote>
  <w:footnote w:type="continuationSeparator" w:id="0">
    <w:p w14:paraId="30FC320F" w14:textId="77777777" w:rsidR="00E81E48" w:rsidRDefault="00E81E48" w:rsidP="00E8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0A3D" w14:textId="77777777" w:rsidR="00E81E48" w:rsidRPr="0033768F" w:rsidRDefault="00E81E48" w:rsidP="00E81E48">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1F31A266" w14:textId="77777777" w:rsidR="00E81E48" w:rsidRPr="0033768F" w:rsidRDefault="00E81E48" w:rsidP="00E81E48">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015F9285" w14:textId="77777777" w:rsidR="00E81E48" w:rsidRDefault="00E81E4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1"/>
    <w:rsid w:val="000C119F"/>
    <w:rsid w:val="004736CB"/>
    <w:rsid w:val="004951CC"/>
    <w:rsid w:val="00794D3A"/>
    <w:rsid w:val="0081075A"/>
    <w:rsid w:val="008652C7"/>
    <w:rsid w:val="009B6807"/>
    <w:rsid w:val="00AA0231"/>
    <w:rsid w:val="00BD28FF"/>
    <w:rsid w:val="00C23507"/>
    <w:rsid w:val="00D739FE"/>
    <w:rsid w:val="00E81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B3E7"/>
  <w15:chartTrackingRefBased/>
  <w15:docId w15:val="{CE894F5C-FC5C-4EF9-882F-07831150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31"/>
  </w:style>
  <w:style w:type="paragraph" w:styleId="Balk1">
    <w:name w:val="heading 1"/>
    <w:basedOn w:val="Normal"/>
    <w:next w:val="Normal"/>
    <w:link w:val="Balk1Char"/>
    <w:uiPriority w:val="9"/>
    <w:qFormat/>
    <w:rsid w:val="00AA0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A0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A023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A023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A023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A023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023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023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023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023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A023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A023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A023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A023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A023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023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023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0231"/>
    <w:rPr>
      <w:rFonts w:eastAsiaTheme="majorEastAsia" w:cstheme="majorBidi"/>
      <w:color w:val="272727" w:themeColor="text1" w:themeTint="D8"/>
    </w:rPr>
  </w:style>
  <w:style w:type="paragraph" w:styleId="KonuBal">
    <w:name w:val="Title"/>
    <w:basedOn w:val="Normal"/>
    <w:next w:val="Normal"/>
    <w:link w:val="KonuBalChar"/>
    <w:uiPriority w:val="10"/>
    <w:qFormat/>
    <w:rsid w:val="00AA0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023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023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023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023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A0231"/>
    <w:rPr>
      <w:i/>
      <w:iCs/>
      <w:color w:val="404040" w:themeColor="text1" w:themeTint="BF"/>
    </w:rPr>
  </w:style>
  <w:style w:type="paragraph" w:styleId="ListeParagraf">
    <w:name w:val="List Paragraph"/>
    <w:basedOn w:val="Normal"/>
    <w:uiPriority w:val="34"/>
    <w:qFormat/>
    <w:rsid w:val="00AA0231"/>
    <w:pPr>
      <w:ind w:left="720"/>
      <w:contextualSpacing/>
    </w:pPr>
  </w:style>
  <w:style w:type="character" w:styleId="GlVurgulama">
    <w:name w:val="Intense Emphasis"/>
    <w:basedOn w:val="VarsaylanParagrafYazTipi"/>
    <w:uiPriority w:val="21"/>
    <w:qFormat/>
    <w:rsid w:val="00AA0231"/>
    <w:rPr>
      <w:i/>
      <w:iCs/>
      <w:color w:val="2F5496" w:themeColor="accent1" w:themeShade="BF"/>
    </w:rPr>
  </w:style>
  <w:style w:type="paragraph" w:styleId="GlAlnt">
    <w:name w:val="Intense Quote"/>
    <w:basedOn w:val="Normal"/>
    <w:next w:val="Normal"/>
    <w:link w:val="GlAlntChar"/>
    <w:uiPriority w:val="30"/>
    <w:qFormat/>
    <w:rsid w:val="00AA0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A0231"/>
    <w:rPr>
      <w:i/>
      <w:iCs/>
      <w:color w:val="2F5496" w:themeColor="accent1" w:themeShade="BF"/>
    </w:rPr>
  </w:style>
  <w:style w:type="character" w:styleId="GlBavuru">
    <w:name w:val="Intense Reference"/>
    <w:basedOn w:val="VarsaylanParagrafYazTipi"/>
    <w:uiPriority w:val="32"/>
    <w:qFormat/>
    <w:rsid w:val="00AA0231"/>
    <w:rPr>
      <w:b/>
      <w:bCs/>
      <w:smallCaps/>
      <w:color w:val="2F5496" w:themeColor="accent1" w:themeShade="BF"/>
      <w:spacing w:val="5"/>
    </w:rPr>
  </w:style>
  <w:style w:type="paragraph" w:styleId="stBilgi">
    <w:name w:val="header"/>
    <w:basedOn w:val="Normal"/>
    <w:link w:val="stBilgiChar"/>
    <w:uiPriority w:val="99"/>
    <w:unhideWhenUsed/>
    <w:rsid w:val="00E81E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E48"/>
  </w:style>
  <w:style w:type="paragraph" w:styleId="AltBilgi">
    <w:name w:val="footer"/>
    <w:basedOn w:val="Normal"/>
    <w:link w:val="AltBilgiChar"/>
    <w:uiPriority w:val="99"/>
    <w:unhideWhenUsed/>
    <w:rsid w:val="00E81E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ATATAS</cp:lastModifiedBy>
  <cp:revision>5</cp:revision>
  <dcterms:created xsi:type="dcterms:W3CDTF">2025-02-11T17:13:00Z</dcterms:created>
  <dcterms:modified xsi:type="dcterms:W3CDTF">2025-02-12T07:08:00Z</dcterms:modified>
</cp:coreProperties>
</file>