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45FB" w14:textId="2D3CF179" w:rsidR="005479D8" w:rsidRDefault="005479D8" w:rsidP="005479D8">
      <w:pPr>
        <w:spacing w:after="0" w:line="240" w:lineRule="auto"/>
        <w:jc w:val="center"/>
        <w:rPr>
          <w:b/>
          <w:bCs/>
          <w:sz w:val="32"/>
          <w:szCs w:val="32"/>
        </w:rPr>
      </w:pPr>
      <w:r>
        <w:rPr>
          <w:b/>
          <w:bCs/>
          <w:sz w:val="32"/>
          <w:szCs w:val="32"/>
        </w:rPr>
        <w:t>VERGİ MEVZUATINDAKİ GELİŞMELER</w:t>
      </w:r>
      <w:r w:rsidRPr="00FC7ED4">
        <w:rPr>
          <w:b/>
          <w:bCs/>
          <w:sz w:val="32"/>
          <w:szCs w:val="32"/>
        </w:rPr>
        <w:t xml:space="preserve"> 202</w:t>
      </w:r>
      <w:r>
        <w:rPr>
          <w:b/>
          <w:bCs/>
          <w:sz w:val="32"/>
          <w:szCs w:val="32"/>
        </w:rPr>
        <w:t>5</w:t>
      </w:r>
      <w:r w:rsidRPr="00FC7ED4">
        <w:rPr>
          <w:b/>
          <w:bCs/>
          <w:sz w:val="32"/>
          <w:szCs w:val="32"/>
        </w:rPr>
        <w:t>/</w:t>
      </w:r>
      <w:r>
        <w:rPr>
          <w:b/>
          <w:bCs/>
          <w:sz w:val="32"/>
          <w:szCs w:val="32"/>
        </w:rPr>
        <w:t>TEMMUZ-1</w:t>
      </w:r>
    </w:p>
    <w:p w14:paraId="766DE9C3" w14:textId="47BC0D60" w:rsidR="006C100F" w:rsidRDefault="006C100F" w:rsidP="006C100F">
      <w:pPr>
        <w:pStyle w:val="stBilgi"/>
        <w:jc w:val="center"/>
        <w:rPr>
          <w:b/>
          <w:bCs/>
        </w:rPr>
      </w:pPr>
      <w:r w:rsidRPr="00D32217">
        <w:rPr>
          <w:b/>
          <w:bCs/>
        </w:rPr>
        <w:t>(</w:t>
      </w:r>
      <w:r>
        <w:rPr>
          <w:b/>
          <w:bCs/>
        </w:rPr>
        <w:t>09.07.2025</w:t>
      </w:r>
      <w:r w:rsidRPr="00D32217">
        <w:rPr>
          <w:b/>
          <w:bCs/>
        </w:rPr>
        <w:t>)</w:t>
      </w:r>
    </w:p>
    <w:p w14:paraId="5722BD07" w14:textId="77777777" w:rsidR="00C23507" w:rsidRDefault="00C23507"/>
    <w:p w14:paraId="2634484E" w14:textId="5E83206B" w:rsidR="006C100F" w:rsidRPr="006C100F" w:rsidRDefault="006C100F">
      <w:pPr>
        <w:rPr>
          <w:b/>
          <w:bCs/>
          <w:sz w:val="26"/>
          <w:szCs w:val="26"/>
        </w:rPr>
      </w:pPr>
      <w:r w:rsidRPr="006C100F">
        <w:rPr>
          <w:b/>
          <w:bCs/>
          <w:sz w:val="26"/>
          <w:szCs w:val="26"/>
        </w:rPr>
        <w:t>I- TÜRK PARASI KIYMETİNİ KORUMA HAKKINDA 32 SAYILI KARARIN 7. MADDESİNDE DEĞİŞİKLİK YAPILMIŞTIR</w:t>
      </w:r>
    </w:p>
    <w:p w14:paraId="22FCC3D3" w14:textId="5456BF37" w:rsidR="006C100F" w:rsidRDefault="006C100F" w:rsidP="006C100F">
      <w:pPr>
        <w:jc w:val="both"/>
      </w:pPr>
      <w:r>
        <w:t xml:space="preserve">09 Temmuz 2025 tarihli ve 32951 sayılı </w:t>
      </w:r>
      <w:proofErr w:type="gramStart"/>
      <w:r>
        <w:t>Resmi</w:t>
      </w:r>
      <w:proofErr w:type="gramEnd"/>
      <w:r>
        <w:t xml:space="preserve"> </w:t>
      </w:r>
      <w:proofErr w:type="spellStart"/>
      <w:r>
        <w:t>Gazete’de</w:t>
      </w:r>
      <w:proofErr w:type="spellEnd"/>
      <w:r>
        <w:t xml:space="preserve"> yayımlanan 10039 sayılı Cumhurbaşkanı Kararı ile Türk Parası Kıymetini Koruma Hakkında 32 Sayılı Karar’ın 7. maddesinin 7. fıkrasının (a) bendinde değişiklik yapılmıştır. Söz konusu bentte “işlenmemiş” ibaresinden sonra gelmek üzere “ve işlenmiş” ibaresi eklenmiştir. Anılan bendin son hali aşağıdaki gibidir:</w:t>
      </w:r>
    </w:p>
    <w:p w14:paraId="6858F794" w14:textId="77777777" w:rsidR="008708B1" w:rsidRDefault="008708B1" w:rsidP="006C100F">
      <w:pPr>
        <w:pStyle w:val="NormalWeb"/>
        <w:shd w:val="clear" w:color="auto" w:fill="F2F2F2" w:themeFill="background1" w:themeFillShade="F2"/>
        <w:spacing w:before="0" w:beforeAutospacing="0" w:after="0" w:afterAutospacing="0"/>
        <w:jc w:val="both"/>
        <w:rPr>
          <w:i/>
          <w:iCs/>
          <w:sz w:val="20"/>
          <w:szCs w:val="20"/>
        </w:rPr>
      </w:pPr>
      <w:r w:rsidRPr="008708B1">
        <w:rPr>
          <w:i/>
          <w:iCs/>
          <w:sz w:val="20"/>
          <w:szCs w:val="20"/>
        </w:rPr>
        <w:t xml:space="preserve">(7) Bakanlık; </w:t>
      </w:r>
    </w:p>
    <w:p w14:paraId="3817D44A" w14:textId="77777777" w:rsidR="008708B1" w:rsidRDefault="008708B1" w:rsidP="006C100F">
      <w:pPr>
        <w:pStyle w:val="NormalWeb"/>
        <w:shd w:val="clear" w:color="auto" w:fill="F2F2F2" w:themeFill="background1" w:themeFillShade="F2"/>
        <w:spacing w:before="0" w:beforeAutospacing="0" w:after="0" w:afterAutospacing="0"/>
        <w:jc w:val="both"/>
        <w:rPr>
          <w:i/>
          <w:iCs/>
          <w:sz w:val="20"/>
          <w:szCs w:val="20"/>
        </w:rPr>
      </w:pPr>
    </w:p>
    <w:p w14:paraId="4EDC6D11" w14:textId="77777777" w:rsidR="008708B1" w:rsidRDefault="008708B1" w:rsidP="006C100F">
      <w:pPr>
        <w:pStyle w:val="NormalWeb"/>
        <w:shd w:val="clear" w:color="auto" w:fill="F2F2F2" w:themeFill="background1" w:themeFillShade="F2"/>
        <w:spacing w:before="0" w:beforeAutospacing="0" w:after="0" w:afterAutospacing="0"/>
        <w:jc w:val="both"/>
        <w:rPr>
          <w:i/>
          <w:iCs/>
          <w:sz w:val="20"/>
          <w:szCs w:val="20"/>
        </w:rPr>
      </w:pPr>
      <w:r w:rsidRPr="008708B1">
        <w:rPr>
          <w:i/>
          <w:iCs/>
          <w:sz w:val="20"/>
          <w:szCs w:val="20"/>
        </w:rPr>
        <w:t xml:space="preserve">a) </w:t>
      </w:r>
      <w:r w:rsidRPr="008708B1">
        <w:rPr>
          <w:b/>
          <w:bCs/>
          <w:i/>
          <w:iCs/>
          <w:sz w:val="20"/>
          <w:szCs w:val="20"/>
        </w:rPr>
        <w:t>İşlenmemiş ve işlenmiş</w:t>
      </w:r>
      <w:r w:rsidRPr="008708B1">
        <w:rPr>
          <w:i/>
          <w:iCs/>
          <w:sz w:val="20"/>
          <w:szCs w:val="20"/>
        </w:rPr>
        <w:t xml:space="preserve"> kıymetli madenlerin farklı ödeme şekillerine göre ithalatını düzenlemeye, </w:t>
      </w:r>
    </w:p>
    <w:p w14:paraId="361CEE0E" w14:textId="77777777" w:rsidR="008708B1" w:rsidRDefault="008708B1" w:rsidP="006C100F">
      <w:pPr>
        <w:pStyle w:val="NormalWeb"/>
        <w:shd w:val="clear" w:color="auto" w:fill="F2F2F2" w:themeFill="background1" w:themeFillShade="F2"/>
        <w:spacing w:before="0" w:beforeAutospacing="0" w:after="0" w:afterAutospacing="0"/>
        <w:jc w:val="both"/>
        <w:rPr>
          <w:i/>
          <w:iCs/>
          <w:sz w:val="20"/>
          <w:szCs w:val="20"/>
        </w:rPr>
      </w:pPr>
    </w:p>
    <w:p w14:paraId="0E3CC8B6" w14:textId="77777777" w:rsidR="008708B1" w:rsidRDefault="008708B1" w:rsidP="006C100F">
      <w:pPr>
        <w:pStyle w:val="NormalWeb"/>
        <w:shd w:val="clear" w:color="auto" w:fill="F2F2F2" w:themeFill="background1" w:themeFillShade="F2"/>
        <w:spacing w:before="0" w:beforeAutospacing="0" w:after="0" w:afterAutospacing="0"/>
        <w:jc w:val="both"/>
        <w:rPr>
          <w:i/>
          <w:iCs/>
          <w:sz w:val="20"/>
          <w:szCs w:val="20"/>
        </w:rPr>
      </w:pPr>
      <w:r w:rsidRPr="008708B1">
        <w:rPr>
          <w:i/>
          <w:iCs/>
          <w:sz w:val="20"/>
          <w:szCs w:val="20"/>
        </w:rPr>
        <w:t xml:space="preserve">b) İşlenmemiş kıymetli maden ithaline ilişkin istisnaları belirlemeye, </w:t>
      </w:r>
    </w:p>
    <w:p w14:paraId="2B006CEA" w14:textId="77777777" w:rsidR="008708B1" w:rsidRDefault="008708B1" w:rsidP="006C100F">
      <w:pPr>
        <w:pStyle w:val="NormalWeb"/>
        <w:shd w:val="clear" w:color="auto" w:fill="F2F2F2" w:themeFill="background1" w:themeFillShade="F2"/>
        <w:spacing w:before="0" w:beforeAutospacing="0" w:after="0" w:afterAutospacing="0"/>
        <w:jc w:val="both"/>
        <w:rPr>
          <w:i/>
          <w:iCs/>
          <w:sz w:val="20"/>
          <w:szCs w:val="20"/>
        </w:rPr>
      </w:pPr>
    </w:p>
    <w:p w14:paraId="3A435F7A" w14:textId="77777777" w:rsidR="008708B1" w:rsidRDefault="008708B1" w:rsidP="006C100F">
      <w:pPr>
        <w:pStyle w:val="NormalWeb"/>
        <w:shd w:val="clear" w:color="auto" w:fill="F2F2F2" w:themeFill="background1" w:themeFillShade="F2"/>
        <w:spacing w:before="0" w:beforeAutospacing="0" w:after="0" w:afterAutospacing="0"/>
        <w:jc w:val="both"/>
        <w:rPr>
          <w:i/>
          <w:iCs/>
          <w:sz w:val="20"/>
          <w:szCs w:val="20"/>
        </w:rPr>
      </w:pPr>
      <w:r w:rsidRPr="008708B1">
        <w:rPr>
          <w:i/>
          <w:iCs/>
          <w:sz w:val="20"/>
          <w:szCs w:val="20"/>
        </w:rPr>
        <w:t xml:space="preserve">c) İhtiyaç duyulması halinde standart işlenmemiş kıymetli madenlerin yolcu beraberinde yurda getirilmesine ilişkin düzenleme yapmaya, </w:t>
      </w:r>
    </w:p>
    <w:p w14:paraId="714EA960" w14:textId="77777777" w:rsidR="008708B1" w:rsidRDefault="008708B1" w:rsidP="006C100F">
      <w:pPr>
        <w:pStyle w:val="NormalWeb"/>
        <w:shd w:val="clear" w:color="auto" w:fill="F2F2F2" w:themeFill="background1" w:themeFillShade="F2"/>
        <w:spacing w:before="0" w:beforeAutospacing="0" w:after="0" w:afterAutospacing="0"/>
        <w:jc w:val="both"/>
        <w:rPr>
          <w:i/>
          <w:iCs/>
          <w:sz w:val="20"/>
          <w:szCs w:val="20"/>
        </w:rPr>
      </w:pPr>
    </w:p>
    <w:p w14:paraId="22511AA4" w14:textId="77777777" w:rsidR="008708B1" w:rsidRDefault="008708B1" w:rsidP="006C100F">
      <w:pPr>
        <w:pStyle w:val="NormalWeb"/>
        <w:shd w:val="clear" w:color="auto" w:fill="F2F2F2" w:themeFill="background1" w:themeFillShade="F2"/>
        <w:spacing w:before="0" w:beforeAutospacing="0" w:after="0" w:afterAutospacing="0"/>
        <w:jc w:val="both"/>
        <w:rPr>
          <w:i/>
          <w:iCs/>
          <w:sz w:val="20"/>
          <w:szCs w:val="20"/>
        </w:rPr>
      </w:pPr>
      <w:proofErr w:type="gramStart"/>
      <w:r w:rsidRPr="008708B1">
        <w:rPr>
          <w:i/>
          <w:iCs/>
          <w:sz w:val="20"/>
          <w:szCs w:val="20"/>
        </w:rPr>
        <w:t>ç</w:t>
      </w:r>
      <w:proofErr w:type="gramEnd"/>
      <w:r w:rsidRPr="008708B1">
        <w:rPr>
          <w:i/>
          <w:iCs/>
          <w:sz w:val="20"/>
          <w:szCs w:val="20"/>
        </w:rPr>
        <w:t xml:space="preserve">) Yurt içinde alınıp satılabilecek işlenmemiş kıymetli madenlerin nitelikleri ile işlenmemiş ve basılı kıymetli madenlerin yurt içinde alım satımına ilişkin istisnaları belirlemeye, gerekli göreceği tedbirleri almaya, </w:t>
      </w:r>
    </w:p>
    <w:p w14:paraId="38989909" w14:textId="77777777" w:rsidR="008708B1" w:rsidRDefault="008708B1" w:rsidP="006C100F">
      <w:pPr>
        <w:pStyle w:val="NormalWeb"/>
        <w:shd w:val="clear" w:color="auto" w:fill="F2F2F2" w:themeFill="background1" w:themeFillShade="F2"/>
        <w:spacing w:before="0" w:beforeAutospacing="0" w:after="0" w:afterAutospacing="0"/>
        <w:jc w:val="both"/>
        <w:rPr>
          <w:i/>
          <w:iCs/>
          <w:sz w:val="20"/>
          <w:szCs w:val="20"/>
        </w:rPr>
      </w:pPr>
    </w:p>
    <w:p w14:paraId="4721136B" w14:textId="77777777" w:rsidR="008708B1" w:rsidRDefault="008708B1" w:rsidP="006C100F">
      <w:pPr>
        <w:pStyle w:val="NormalWeb"/>
        <w:shd w:val="clear" w:color="auto" w:fill="F2F2F2" w:themeFill="background1" w:themeFillShade="F2"/>
        <w:spacing w:before="0" w:beforeAutospacing="0" w:after="0" w:afterAutospacing="0"/>
        <w:jc w:val="both"/>
        <w:rPr>
          <w:i/>
          <w:iCs/>
          <w:sz w:val="20"/>
          <w:szCs w:val="20"/>
        </w:rPr>
      </w:pPr>
      <w:r w:rsidRPr="008708B1">
        <w:rPr>
          <w:i/>
          <w:iCs/>
          <w:sz w:val="20"/>
          <w:szCs w:val="20"/>
        </w:rPr>
        <w:t xml:space="preserve">d) İşlenmemiş kıymetli madenler ve basılı kıymetli madenlerin yurt içinde alım satımı ile ithalatını ve ihracatını yapacakların sağlaması gereken şartları, kayıt düzenlerine ilişkin uymakla yükümlü olacakları esasları, Bakanlığa yapacakları bildirimleri, bu bildirimlerin şekil ve sürelerini belirlemeye, </w:t>
      </w:r>
    </w:p>
    <w:p w14:paraId="2E62261A" w14:textId="77777777" w:rsidR="008708B1" w:rsidRDefault="008708B1" w:rsidP="006C100F">
      <w:pPr>
        <w:pStyle w:val="NormalWeb"/>
        <w:shd w:val="clear" w:color="auto" w:fill="F2F2F2" w:themeFill="background1" w:themeFillShade="F2"/>
        <w:spacing w:before="0" w:beforeAutospacing="0" w:after="0" w:afterAutospacing="0"/>
        <w:jc w:val="both"/>
        <w:rPr>
          <w:i/>
          <w:iCs/>
          <w:sz w:val="20"/>
          <w:szCs w:val="20"/>
        </w:rPr>
      </w:pPr>
    </w:p>
    <w:p w14:paraId="260CCD8F" w14:textId="77777777" w:rsidR="008708B1" w:rsidRDefault="008708B1" w:rsidP="006C100F">
      <w:pPr>
        <w:pStyle w:val="NormalWeb"/>
        <w:shd w:val="clear" w:color="auto" w:fill="F2F2F2" w:themeFill="background1" w:themeFillShade="F2"/>
        <w:spacing w:before="0" w:beforeAutospacing="0" w:after="0" w:afterAutospacing="0"/>
        <w:jc w:val="both"/>
        <w:rPr>
          <w:i/>
          <w:iCs/>
          <w:sz w:val="20"/>
          <w:szCs w:val="20"/>
        </w:rPr>
      </w:pPr>
      <w:r w:rsidRPr="008708B1">
        <w:rPr>
          <w:i/>
          <w:iCs/>
          <w:sz w:val="20"/>
          <w:szCs w:val="20"/>
        </w:rPr>
        <w:t xml:space="preserve">e) İşlenmemiş kıymetli madenler ve basılı kıymetli madenleri yurt dışından gümrük antrepolarına koyacak veya serbest bölgeye getireceklerin kayıt düzenlerine ilişkin uymakla yükümlü olacakları esasları, Bakanlığa yapacakları bildirimleri, bu bildirimlerin şekil ve sürelerini belirlemeye, </w:t>
      </w:r>
    </w:p>
    <w:p w14:paraId="4F33893C" w14:textId="77777777" w:rsidR="008708B1" w:rsidRDefault="008708B1" w:rsidP="006C100F">
      <w:pPr>
        <w:pStyle w:val="NormalWeb"/>
        <w:shd w:val="clear" w:color="auto" w:fill="F2F2F2" w:themeFill="background1" w:themeFillShade="F2"/>
        <w:spacing w:before="0" w:beforeAutospacing="0" w:after="0" w:afterAutospacing="0"/>
        <w:jc w:val="both"/>
        <w:rPr>
          <w:i/>
          <w:iCs/>
          <w:sz w:val="20"/>
          <w:szCs w:val="20"/>
        </w:rPr>
      </w:pPr>
    </w:p>
    <w:p w14:paraId="20B140E0" w14:textId="77777777" w:rsidR="008708B1" w:rsidRDefault="008708B1" w:rsidP="006C100F">
      <w:pPr>
        <w:pStyle w:val="NormalWeb"/>
        <w:shd w:val="clear" w:color="auto" w:fill="F2F2F2" w:themeFill="background1" w:themeFillShade="F2"/>
        <w:spacing w:before="0" w:beforeAutospacing="0" w:after="0" w:afterAutospacing="0"/>
        <w:jc w:val="both"/>
        <w:rPr>
          <w:i/>
          <w:iCs/>
          <w:sz w:val="20"/>
          <w:szCs w:val="20"/>
        </w:rPr>
      </w:pPr>
      <w:r w:rsidRPr="008708B1">
        <w:rPr>
          <w:i/>
          <w:iCs/>
          <w:sz w:val="20"/>
          <w:szCs w:val="20"/>
        </w:rPr>
        <w:t xml:space="preserve">f) Kıymetli madene ilişkin işlem yapmaya yetkili diğer mercileri belirlemeye, </w:t>
      </w:r>
    </w:p>
    <w:p w14:paraId="21EF6051" w14:textId="77777777" w:rsidR="008708B1" w:rsidRDefault="008708B1" w:rsidP="006C100F">
      <w:pPr>
        <w:pStyle w:val="NormalWeb"/>
        <w:shd w:val="clear" w:color="auto" w:fill="F2F2F2" w:themeFill="background1" w:themeFillShade="F2"/>
        <w:spacing w:before="0" w:beforeAutospacing="0" w:after="0" w:afterAutospacing="0"/>
        <w:jc w:val="both"/>
        <w:rPr>
          <w:i/>
          <w:iCs/>
          <w:sz w:val="20"/>
          <w:szCs w:val="20"/>
        </w:rPr>
      </w:pPr>
    </w:p>
    <w:p w14:paraId="01642C8A" w14:textId="774EC00A" w:rsidR="006C100F" w:rsidRPr="006C100F" w:rsidRDefault="008708B1" w:rsidP="006C100F">
      <w:pPr>
        <w:pStyle w:val="NormalWeb"/>
        <w:shd w:val="clear" w:color="auto" w:fill="F2F2F2" w:themeFill="background1" w:themeFillShade="F2"/>
        <w:spacing w:before="0" w:beforeAutospacing="0" w:after="0" w:afterAutospacing="0"/>
        <w:jc w:val="both"/>
        <w:rPr>
          <w:i/>
          <w:iCs/>
          <w:sz w:val="20"/>
          <w:szCs w:val="20"/>
        </w:rPr>
      </w:pPr>
      <w:r w:rsidRPr="008708B1">
        <w:rPr>
          <w:i/>
          <w:iCs/>
          <w:sz w:val="20"/>
          <w:szCs w:val="20"/>
        </w:rPr>
        <w:t>g) Yurt içinde alınıp satılabilecek çekili kıymetli madenlerin nitelikleri ile yurt içinde alım satımına ilişkin usul, esas ve istisnaları belirlemeye ve gerekli göreceği tedbirleri almaya, yetkilidir.</w:t>
      </w:r>
      <w:r w:rsidR="006C100F" w:rsidRPr="006C100F">
        <w:rPr>
          <w:i/>
          <w:iCs/>
          <w:sz w:val="20"/>
          <w:szCs w:val="20"/>
        </w:rPr>
        <w:t xml:space="preserve"> </w:t>
      </w:r>
    </w:p>
    <w:p w14:paraId="541146DA" w14:textId="7B0D5D15" w:rsidR="006C100F" w:rsidRDefault="006C100F"/>
    <w:p w14:paraId="1B9550B5" w14:textId="357341C0" w:rsidR="00E134DD" w:rsidRDefault="00E134DD" w:rsidP="00E134DD">
      <w:pPr>
        <w:rPr>
          <w:b/>
          <w:bCs/>
          <w:sz w:val="26"/>
          <w:szCs w:val="26"/>
        </w:rPr>
      </w:pPr>
      <w:r>
        <w:rPr>
          <w:b/>
          <w:bCs/>
          <w:sz w:val="26"/>
          <w:szCs w:val="26"/>
        </w:rPr>
        <w:t>II- T</w:t>
      </w:r>
      <w:r w:rsidRPr="00E134DD">
        <w:rPr>
          <w:b/>
          <w:bCs/>
          <w:sz w:val="26"/>
          <w:szCs w:val="26"/>
        </w:rPr>
        <w:t>ÜRK PARASI KIYMETİNİ KORUMA HAKKINDA 32 SAYILI KARARA</w:t>
      </w:r>
      <w:r>
        <w:rPr>
          <w:b/>
          <w:bCs/>
          <w:sz w:val="26"/>
          <w:szCs w:val="26"/>
        </w:rPr>
        <w:t xml:space="preserve"> </w:t>
      </w:r>
      <w:r w:rsidRPr="00E134DD">
        <w:rPr>
          <w:b/>
          <w:bCs/>
          <w:sz w:val="26"/>
          <w:szCs w:val="26"/>
        </w:rPr>
        <w:t>İLİŞKİN TEBLİĞ (TEBLİĞ NO: 2008-32/34)’DE DEĞİŞİKLİK</w:t>
      </w:r>
      <w:r>
        <w:rPr>
          <w:b/>
          <w:bCs/>
          <w:sz w:val="26"/>
          <w:szCs w:val="26"/>
        </w:rPr>
        <w:t xml:space="preserve"> </w:t>
      </w:r>
      <w:r w:rsidRPr="00E134DD">
        <w:rPr>
          <w:b/>
          <w:bCs/>
          <w:sz w:val="26"/>
          <w:szCs w:val="26"/>
        </w:rPr>
        <w:t>YAPILMASINA DAİR TEBLİĞ (TEBLİĞ NO: 2025-32/76)</w:t>
      </w:r>
      <w:r>
        <w:rPr>
          <w:b/>
          <w:bCs/>
          <w:sz w:val="26"/>
          <w:szCs w:val="26"/>
        </w:rPr>
        <w:t xml:space="preserve"> YAYIMLANMIŞTIR</w:t>
      </w:r>
    </w:p>
    <w:p w14:paraId="34687DC1" w14:textId="71000AED" w:rsidR="00E134DD" w:rsidRDefault="00E134DD" w:rsidP="00E134DD">
      <w:r w:rsidRPr="00E134DD">
        <w:t>Türk Parası Kıymetini Koruma Hakkında 32 Sayılı Karara</w:t>
      </w:r>
      <w:r>
        <w:t xml:space="preserve"> </w:t>
      </w:r>
      <w:r w:rsidRPr="00E134DD">
        <w:t>İlişkin Tebliğ (Tebliğ No: 2008-32/34)’</w:t>
      </w:r>
      <w:r>
        <w:t>d</w:t>
      </w:r>
      <w:r w:rsidRPr="00E134DD">
        <w:t>e Değişiklik</w:t>
      </w:r>
      <w:r>
        <w:t xml:space="preserve"> </w:t>
      </w:r>
      <w:r w:rsidRPr="00E134DD">
        <w:t>Yapılmasına Dair Tebliğ (Tebliğ No: 2025-32/76)</w:t>
      </w:r>
      <w:r>
        <w:t xml:space="preserve">, 09 Temmuz 2025 tarihli ve 32951 sayılı </w:t>
      </w:r>
      <w:proofErr w:type="gramStart"/>
      <w:r>
        <w:t>Resmi</w:t>
      </w:r>
      <w:proofErr w:type="gramEnd"/>
      <w:r>
        <w:t xml:space="preserve"> </w:t>
      </w:r>
      <w:proofErr w:type="spellStart"/>
      <w:r>
        <w:t>Gazete’de</w:t>
      </w:r>
      <w:proofErr w:type="spellEnd"/>
      <w:r>
        <w:t xml:space="preserve"> yayımlanmıştır. Anılan Tebliğ ile;</w:t>
      </w:r>
    </w:p>
    <w:p w14:paraId="75DC6005" w14:textId="3D036AB4" w:rsidR="00E134DD" w:rsidRPr="00E134DD" w:rsidRDefault="00E134DD" w:rsidP="00E134DD">
      <w:r w:rsidRPr="00E134DD">
        <w:t xml:space="preserve">28/2/2008 tarihli ve 26801 sayılı Resmî </w:t>
      </w:r>
      <w:proofErr w:type="spellStart"/>
      <w:r w:rsidRPr="00E134DD">
        <w:t>Gazete’de</w:t>
      </w:r>
      <w:proofErr w:type="spellEnd"/>
      <w:r w:rsidRPr="00E134DD">
        <w:t xml:space="preserve"> yayımlanan Türk Parası Kıymetini Koruma Hakkında 32 Sayılı Karara İlişkin Tebliğ (Tebliğ No: 2008-32/34)’in 6</w:t>
      </w:r>
      <w:r>
        <w:t>’</w:t>
      </w:r>
      <w:r w:rsidRPr="00E134DD">
        <w:t>ncı maddesine aşağıdaki fıkra eklenmiştir.</w:t>
      </w:r>
    </w:p>
    <w:p w14:paraId="225C9ADA" w14:textId="77777777" w:rsidR="00E134DD" w:rsidRPr="00E134DD" w:rsidRDefault="00E134DD" w:rsidP="00E134DD">
      <w:pPr>
        <w:shd w:val="clear" w:color="auto" w:fill="F2F2F2" w:themeFill="background1" w:themeFillShade="F2"/>
        <w:rPr>
          <w:i/>
          <w:iCs/>
          <w:sz w:val="20"/>
          <w:szCs w:val="20"/>
        </w:rPr>
      </w:pPr>
      <w:r w:rsidRPr="00E134DD">
        <w:rPr>
          <w:i/>
          <w:iCs/>
          <w:sz w:val="20"/>
          <w:szCs w:val="20"/>
        </w:rPr>
        <w:t>“(12) İşlenmiş kıymetli madenlerin “peşin”, “mal mukabili”, “vadeli akreditifli”, “kabul kredili”, “vesaik mukabili” ve “bedelsiz” ödeme şekilleri ile ithalatı mümkündür.”</w:t>
      </w:r>
    </w:p>
    <w:p w14:paraId="375C5582" w14:textId="536862D5" w:rsidR="00E134DD" w:rsidRPr="00E134DD" w:rsidRDefault="00E134DD" w:rsidP="00E134DD">
      <w:r>
        <w:lastRenderedPageBreak/>
        <w:t>Ayrıca a</w:t>
      </w:r>
      <w:r w:rsidRPr="00E134DD">
        <w:t>ynı Tebliğe aşağıdaki geçici madde eklenmiştir.</w:t>
      </w:r>
    </w:p>
    <w:p w14:paraId="6C493ED4" w14:textId="77777777" w:rsidR="00E134DD" w:rsidRPr="00E134DD" w:rsidRDefault="00E134DD" w:rsidP="00E134DD">
      <w:pPr>
        <w:shd w:val="clear" w:color="auto" w:fill="F2F2F2" w:themeFill="background1" w:themeFillShade="F2"/>
        <w:jc w:val="both"/>
        <w:rPr>
          <w:i/>
          <w:iCs/>
          <w:sz w:val="20"/>
          <w:szCs w:val="20"/>
        </w:rPr>
      </w:pPr>
      <w:r w:rsidRPr="00E134DD">
        <w:rPr>
          <w:i/>
          <w:iCs/>
          <w:sz w:val="20"/>
          <w:szCs w:val="20"/>
        </w:rPr>
        <w:t>“GEÇİCİ MADDE 2- (1) 31/12/2026 tarihine kadar işlenmiş altının ithalatı yalnızca “mal mukabili”, “vadeli akreditifli” ve “kabul kredili” ödeme şekilleri ile mümkündür. Bakanlıkça belirlenecek usul ve esaslar dâhilinde “bedelsiz” ödeme şekli ile işlenmiş altın ithalatı gerçekleştirilebilir.</w:t>
      </w:r>
    </w:p>
    <w:p w14:paraId="50FC4CB7" w14:textId="7FC20A1C" w:rsidR="00E134DD" w:rsidRPr="00E134DD" w:rsidRDefault="00E134DD" w:rsidP="00E134DD">
      <w:pPr>
        <w:shd w:val="clear" w:color="auto" w:fill="F2F2F2" w:themeFill="background1" w:themeFillShade="F2"/>
        <w:jc w:val="both"/>
        <w:rPr>
          <w:i/>
          <w:iCs/>
          <w:sz w:val="20"/>
          <w:szCs w:val="20"/>
        </w:rPr>
      </w:pPr>
      <w:r w:rsidRPr="00E134DD">
        <w:rPr>
          <w:i/>
          <w:iCs/>
          <w:sz w:val="20"/>
          <w:szCs w:val="20"/>
        </w:rPr>
        <w:t>(2) Bu maddenin yürürlüğe girdiği tarihten önce bedeli yurt dışına transfer edilmiş işlenmiş altının ithalatına ilişkin gümrük beyannamesinin bu maddenin yürürlüğe girdiği tarihten itibaren 60 gün içinde tescil edilmesi halinde, ithalatın 6</w:t>
      </w:r>
      <w:r>
        <w:rPr>
          <w:i/>
          <w:iCs/>
          <w:sz w:val="20"/>
          <w:szCs w:val="20"/>
        </w:rPr>
        <w:t>’</w:t>
      </w:r>
      <w:r w:rsidRPr="00E134DD">
        <w:rPr>
          <w:i/>
          <w:iCs/>
          <w:sz w:val="20"/>
          <w:szCs w:val="20"/>
        </w:rPr>
        <w:t>ncı maddenin on ikinci fıkrasında düzenlenen tüm ödeme şekilleri ile gerçekleştirilmesi mümkündür.”</w:t>
      </w:r>
    </w:p>
    <w:p w14:paraId="04EF73B6" w14:textId="77777777" w:rsidR="00E134DD" w:rsidRDefault="00E134DD">
      <w:pPr>
        <w:rPr>
          <w:b/>
          <w:bCs/>
          <w:sz w:val="26"/>
          <w:szCs w:val="26"/>
        </w:rPr>
      </w:pPr>
    </w:p>
    <w:p w14:paraId="0D7AC43A" w14:textId="520AD738" w:rsidR="006C100F" w:rsidRPr="004B73DA" w:rsidRDefault="00E134DD">
      <w:pPr>
        <w:rPr>
          <w:b/>
          <w:bCs/>
          <w:sz w:val="26"/>
          <w:szCs w:val="26"/>
        </w:rPr>
      </w:pPr>
      <w:r>
        <w:rPr>
          <w:b/>
          <w:bCs/>
          <w:sz w:val="26"/>
          <w:szCs w:val="26"/>
        </w:rPr>
        <w:t>I</w:t>
      </w:r>
      <w:r w:rsidR="004B73DA" w:rsidRPr="004B73DA">
        <w:rPr>
          <w:b/>
          <w:bCs/>
          <w:sz w:val="26"/>
          <w:szCs w:val="26"/>
        </w:rPr>
        <w:t>II- AMME ALACAKLARININ TAHSİL USULÜ HAKKINDA KANUN’UN TECİL BAŞLIKLI 48. MADDESİNDEKİ TEMİNAT ŞARTI ARANMAYAN TUTAR DEĞİŞTİRİLMİŞTİR</w:t>
      </w:r>
    </w:p>
    <w:p w14:paraId="1848852A" w14:textId="22353872" w:rsidR="004B73DA" w:rsidRDefault="004B73DA" w:rsidP="004B73DA">
      <w:pPr>
        <w:jc w:val="both"/>
      </w:pPr>
      <w:r>
        <w:t>09 Temmuz 2025 tarihli ve 32951 sayılı Resm</w:t>
      </w:r>
      <w:r w:rsidR="00733B12">
        <w:t>î</w:t>
      </w:r>
      <w:r>
        <w:t xml:space="preserve"> </w:t>
      </w:r>
      <w:proofErr w:type="spellStart"/>
      <w:r>
        <w:t>Gazete’de</w:t>
      </w:r>
      <w:proofErr w:type="spellEnd"/>
      <w:r>
        <w:t xml:space="preserve"> yayımlanan 10040 sayılı Cumhurbaşkanı Kararı ile Amme Alacaklarının Tahsil Usulü Hakkında Kanun’un tecil başlıklı 48. maddesinin 2. fıkrasındaki teminat şartı aranmayan tutar 50.000 TL’den 250.000 TL’ye çıkarılmıştır. Söz konusu fıkranın son hali aşağıdaki gibidir:</w:t>
      </w:r>
    </w:p>
    <w:p w14:paraId="66676D91" w14:textId="6EC33BDD" w:rsidR="004B73DA" w:rsidRPr="004B73DA" w:rsidRDefault="004B73DA" w:rsidP="004B73DA">
      <w:pPr>
        <w:shd w:val="clear" w:color="auto" w:fill="F2F2F2" w:themeFill="background1" w:themeFillShade="F2"/>
        <w:jc w:val="both"/>
        <w:rPr>
          <w:i/>
          <w:iCs/>
          <w:sz w:val="20"/>
          <w:szCs w:val="20"/>
        </w:rPr>
      </w:pPr>
      <w:r w:rsidRPr="004B73DA">
        <w:rPr>
          <w:i/>
          <w:iCs/>
          <w:sz w:val="20"/>
          <w:szCs w:val="20"/>
        </w:rPr>
        <w:t xml:space="preserve">“Şu kadar ki, amme borçlusunun alacaklı tahsil daireleri itibarıyla tecil edilen borçlarının toplamı </w:t>
      </w:r>
      <w:proofErr w:type="spellStart"/>
      <w:r w:rsidRPr="004B73DA">
        <w:rPr>
          <w:b/>
          <w:bCs/>
          <w:i/>
          <w:iCs/>
          <w:sz w:val="20"/>
          <w:szCs w:val="20"/>
        </w:rPr>
        <w:t>ikiyüzellibin</w:t>
      </w:r>
      <w:proofErr w:type="spellEnd"/>
      <w:r w:rsidRPr="004B73DA">
        <w:rPr>
          <w:b/>
          <w:bCs/>
          <w:i/>
          <w:iCs/>
          <w:sz w:val="20"/>
          <w:szCs w:val="20"/>
        </w:rPr>
        <w:t xml:space="preserve"> Türk Lirasını </w:t>
      </w:r>
      <w:r w:rsidRPr="004B73DA">
        <w:rPr>
          <w:i/>
          <w:iCs/>
          <w:sz w:val="20"/>
          <w:szCs w:val="20"/>
        </w:rPr>
        <w:t xml:space="preserve">(bu tutar dahil) aşmadığı takdirde teminat şartı aranılmaz. Bu tutarın üzerindeki amme alacaklarının tecilinde, gösterilmesi zorunlu teminat tutarı </w:t>
      </w:r>
      <w:proofErr w:type="spellStart"/>
      <w:r w:rsidRPr="004B73DA">
        <w:rPr>
          <w:b/>
          <w:bCs/>
          <w:i/>
          <w:iCs/>
          <w:sz w:val="20"/>
          <w:szCs w:val="20"/>
        </w:rPr>
        <w:t>ikiyüzellibin</w:t>
      </w:r>
      <w:proofErr w:type="spellEnd"/>
      <w:r w:rsidRPr="004B73DA">
        <w:rPr>
          <w:b/>
          <w:bCs/>
          <w:i/>
          <w:iCs/>
          <w:sz w:val="20"/>
          <w:szCs w:val="20"/>
        </w:rPr>
        <w:t xml:space="preserve"> Türk Lirasını</w:t>
      </w:r>
      <w:r w:rsidRPr="004B73DA">
        <w:rPr>
          <w:i/>
          <w:iCs/>
          <w:sz w:val="20"/>
          <w:szCs w:val="20"/>
        </w:rPr>
        <w:t> aşan kısmın yarısıdır.  Cumhurbaşkanı; bu tutarı on katına kadar artırmaya, yarısına kadar indirmeye, yeniden kanuni tutarına getirmeye ve alacaklı amme idareleri itibarıyla bu hadler arasında farklı tutar belirlemeye yetkilidir.”</w:t>
      </w:r>
    </w:p>
    <w:p w14:paraId="0CFB210F" w14:textId="77777777" w:rsidR="000B2465" w:rsidRDefault="000B2465" w:rsidP="004B73DA">
      <w:pPr>
        <w:jc w:val="both"/>
        <w:rPr>
          <w:b/>
          <w:bCs/>
          <w:sz w:val="26"/>
          <w:szCs w:val="26"/>
        </w:rPr>
      </w:pPr>
    </w:p>
    <w:p w14:paraId="36B1749E" w14:textId="6C4ACF2F" w:rsidR="004B73DA" w:rsidRPr="00304C0A" w:rsidRDefault="00A45AC0" w:rsidP="004B73DA">
      <w:pPr>
        <w:jc w:val="both"/>
        <w:rPr>
          <w:b/>
          <w:bCs/>
          <w:sz w:val="26"/>
          <w:szCs w:val="26"/>
        </w:rPr>
      </w:pPr>
      <w:r w:rsidRPr="00304C0A">
        <w:rPr>
          <w:b/>
          <w:bCs/>
          <w:sz w:val="26"/>
          <w:szCs w:val="26"/>
        </w:rPr>
        <w:t>I</w:t>
      </w:r>
      <w:r w:rsidR="00E134DD">
        <w:rPr>
          <w:b/>
          <w:bCs/>
          <w:sz w:val="26"/>
          <w:szCs w:val="26"/>
        </w:rPr>
        <w:t>V</w:t>
      </w:r>
      <w:r w:rsidRPr="00304C0A">
        <w:rPr>
          <w:b/>
          <w:bCs/>
          <w:sz w:val="26"/>
          <w:szCs w:val="26"/>
        </w:rPr>
        <w:t xml:space="preserve">- </w:t>
      </w:r>
      <w:r w:rsidR="00304C0A" w:rsidRPr="00304C0A">
        <w:rPr>
          <w:b/>
          <w:bCs/>
          <w:sz w:val="26"/>
          <w:szCs w:val="26"/>
        </w:rPr>
        <w:t>GELİR VERGİSİ KANUNU’NUN GEÇİCİ 67. MADDESİNDE YER ALAN MEVDUAT VE FONLARLA İLGİLİ TEVKİFAT ORANI DEĞİŞTİRİLMİŞTİR</w:t>
      </w:r>
    </w:p>
    <w:p w14:paraId="7A85C364" w14:textId="6D729CAD" w:rsidR="00304C0A" w:rsidRDefault="00304C0A" w:rsidP="004B73DA">
      <w:pPr>
        <w:jc w:val="both"/>
      </w:pPr>
      <w:r>
        <w:t>09 Temmuz 2025 tarihli ve 32951 sayılı Resm</w:t>
      </w:r>
      <w:r w:rsidR="00733B12">
        <w:t>î</w:t>
      </w:r>
      <w:r>
        <w:t xml:space="preserve"> </w:t>
      </w:r>
      <w:proofErr w:type="spellStart"/>
      <w:r>
        <w:t>Gazete’de</w:t>
      </w:r>
      <w:proofErr w:type="spellEnd"/>
      <w:r>
        <w:t xml:space="preserve"> yayımlanan 10041 sayılı Cumhurbaşkanı Kararı ile mevduat hesaplarına ve fonlara uygulanan tevkifat oranlarında değişiklik yapılmıştır. Buna göre: </w:t>
      </w:r>
    </w:p>
    <w:p w14:paraId="6794F185" w14:textId="2D19959C" w:rsidR="00304C0A" w:rsidRPr="00304C0A" w:rsidRDefault="00304C0A" w:rsidP="00304C0A">
      <w:pPr>
        <w:jc w:val="both"/>
      </w:pPr>
      <w:r>
        <w:t xml:space="preserve">- </w:t>
      </w:r>
      <w:r w:rsidR="00352071">
        <w:t xml:space="preserve">Karar’ın 1. maddesi gereğince </w:t>
      </w:r>
      <w:r>
        <w:t>2</w:t>
      </w:r>
      <w:r w:rsidRPr="00304C0A">
        <w:t>2/7/2006 tarihli ve </w:t>
      </w:r>
      <w:hyperlink r:id="rId6" w:history="1">
        <w:r w:rsidRPr="00304C0A">
          <w:rPr>
            <w:rStyle w:val="Kpr"/>
            <w:color w:val="auto"/>
            <w:u w:val="none"/>
          </w:rPr>
          <w:t>2006/10731 sayılı Bakanlar Kurulu Kararı’nın</w:t>
        </w:r>
      </w:hyperlink>
      <w:r w:rsidRPr="00304C0A">
        <w:t> eki Kararın 1</w:t>
      </w:r>
      <w:r>
        <w:t>’</w:t>
      </w:r>
      <w:r w:rsidRPr="00304C0A">
        <w:t>inci maddesinin birinci fıkrasının (a) bendinin (1) numaralı alt bendinin (ii) sırası ile (ç) bendinin (ii) sırasında yer alan “%15” ibareleri “%17,5” şeklinde</w:t>
      </w:r>
      <w:r>
        <w:t>;</w:t>
      </w:r>
    </w:p>
    <w:p w14:paraId="58026E55" w14:textId="42888EA5" w:rsidR="00304C0A" w:rsidRPr="00304C0A" w:rsidRDefault="00304C0A" w:rsidP="00304C0A">
      <w:pPr>
        <w:jc w:val="both"/>
      </w:pPr>
      <w:r>
        <w:t xml:space="preserve">- </w:t>
      </w:r>
      <w:r w:rsidR="00352071">
        <w:t xml:space="preserve">Karar’ın 2. maddesi gereğince </w:t>
      </w:r>
      <w:r>
        <w:t>2</w:t>
      </w:r>
      <w:r w:rsidRPr="00304C0A">
        <w:t>2/7/2006 tarihli ve </w:t>
      </w:r>
      <w:hyperlink r:id="rId7" w:history="1">
        <w:r w:rsidRPr="00304C0A">
          <w:rPr>
            <w:rStyle w:val="Kpr"/>
            <w:color w:val="auto"/>
            <w:u w:val="none"/>
          </w:rPr>
          <w:t>2006/10731 sayılı Bakanlar Kurulu Kararı’nın</w:t>
        </w:r>
      </w:hyperlink>
      <w:r w:rsidRPr="00304C0A">
        <w:t> eki Kararın 1</w:t>
      </w:r>
      <w:r>
        <w:t>’</w:t>
      </w:r>
      <w:r w:rsidRPr="00304C0A">
        <w:t>inci maddesinin birinci fıkrasının (d) bendinin (2) ve (3) numaralı alt bentlerinde yer alan “% 15” ibareleri “%17,5”, “%12” ibareleri “%15” şeklinde değiştirilmiştir.</w:t>
      </w:r>
    </w:p>
    <w:p w14:paraId="4100EB91" w14:textId="397C6315" w:rsidR="004B73DA" w:rsidRDefault="00304C0A" w:rsidP="004B73DA">
      <w:r>
        <w:t>İlgili maddenin son hali aşağıdaki gibidir:</w:t>
      </w:r>
    </w:p>
    <w:p w14:paraId="4E4892CD" w14:textId="1B0C0094" w:rsidR="00304C0A" w:rsidRPr="00352071" w:rsidRDefault="00304C0A" w:rsidP="00352071">
      <w:pPr>
        <w:shd w:val="clear" w:color="auto" w:fill="F2F2F2" w:themeFill="background1" w:themeFillShade="F2"/>
        <w:jc w:val="both"/>
        <w:rPr>
          <w:i/>
          <w:iCs/>
          <w:sz w:val="20"/>
          <w:szCs w:val="20"/>
        </w:rPr>
      </w:pPr>
      <w:r w:rsidRPr="00352071">
        <w:rPr>
          <w:i/>
          <w:iCs/>
          <w:sz w:val="20"/>
          <w:szCs w:val="20"/>
        </w:rPr>
        <w:t>“</w:t>
      </w:r>
      <w:r w:rsidRPr="00352071">
        <w:rPr>
          <w:b/>
          <w:bCs/>
          <w:i/>
          <w:iCs/>
          <w:sz w:val="20"/>
          <w:szCs w:val="20"/>
        </w:rPr>
        <w:t>MADDE 1 –</w:t>
      </w:r>
      <w:r w:rsidRPr="00352071">
        <w:rPr>
          <w:i/>
          <w:iCs/>
          <w:sz w:val="20"/>
          <w:szCs w:val="20"/>
        </w:rPr>
        <w:t> 193 sayılı Gelir Vergisi Kanunu’nun geçici 67’nci maddesinde yer alan bazı kazanç ve iratlardan yapılacak tevkifat oranları aşağıdaki şekilde tespit edilmiştir.</w:t>
      </w:r>
    </w:p>
    <w:p w14:paraId="51349F88" w14:textId="13550C23" w:rsidR="00304C0A" w:rsidRPr="00733B12" w:rsidRDefault="00304C0A" w:rsidP="00352071">
      <w:pPr>
        <w:shd w:val="clear" w:color="auto" w:fill="F2F2F2" w:themeFill="background1" w:themeFillShade="F2"/>
        <w:jc w:val="both"/>
        <w:rPr>
          <w:b/>
          <w:bCs/>
          <w:i/>
          <w:iCs/>
          <w:sz w:val="20"/>
          <w:szCs w:val="20"/>
        </w:rPr>
      </w:pPr>
      <w:r w:rsidRPr="00733B12">
        <w:rPr>
          <w:b/>
          <w:bCs/>
          <w:i/>
          <w:iCs/>
          <w:sz w:val="20"/>
          <w:szCs w:val="20"/>
        </w:rPr>
        <w:t>a)</w:t>
      </w:r>
      <w:r w:rsidRPr="00304C0A">
        <w:rPr>
          <w:i/>
          <w:iCs/>
          <w:sz w:val="20"/>
          <w:szCs w:val="20"/>
        </w:rPr>
        <w:t xml:space="preserve"> </w:t>
      </w:r>
      <w:r w:rsidRPr="00733B12">
        <w:rPr>
          <w:b/>
          <w:bCs/>
          <w:i/>
          <w:iCs/>
          <w:sz w:val="20"/>
          <w:szCs w:val="20"/>
        </w:rPr>
        <w:t>1) (1), (2) ve (3) numaralı fıkrada yer alan oran;</w:t>
      </w:r>
    </w:p>
    <w:p w14:paraId="507C0479" w14:textId="77777777" w:rsidR="00304C0A" w:rsidRPr="00352071" w:rsidRDefault="00304C0A" w:rsidP="00352071">
      <w:pPr>
        <w:shd w:val="clear" w:color="auto" w:fill="F2F2F2" w:themeFill="background1" w:themeFillShade="F2"/>
        <w:jc w:val="both"/>
        <w:rPr>
          <w:i/>
          <w:iCs/>
          <w:sz w:val="20"/>
          <w:szCs w:val="20"/>
        </w:rPr>
      </w:pPr>
      <w:r w:rsidRPr="00352071">
        <w:rPr>
          <w:i/>
          <w:iCs/>
          <w:sz w:val="20"/>
          <w:szCs w:val="20"/>
        </w:rPr>
        <w:t>…</w:t>
      </w:r>
    </w:p>
    <w:p w14:paraId="250E20FD" w14:textId="0BD52A15" w:rsidR="00304C0A" w:rsidRPr="00304C0A" w:rsidRDefault="00304C0A" w:rsidP="00352071">
      <w:pPr>
        <w:shd w:val="clear" w:color="auto" w:fill="F2F2F2" w:themeFill="background1" w:themeFillShade="F2"/>
        <w:jc w:val="both"/>
        <w:rPr>
          <w:i/>
          <w:iCs/>
          <w:sz w:val="20"/>
          <w:szCs w:val="20"/>
        </w:rPr>
      </w:pPr>
      <w:r w:rsidRPr="00304C0A">
        <w:rPr>
          <w:i/>
          <w:iCs/>
          <w:sz w:val="20"/>
          <w:szCs w:val="20"/>
        </w:rPr>
        <w:lastRenderedPageBreak/>
        <w:t xml:space="preserve">ii) Hisse senedi yoğun fonların katılma paylarından, iki yıldan fazla süreyle elde tutulan girişim sermayesi yatırım fonu ve gayrimenkul yatırım fonu katılma paylarından elde edilen kazançlar için %0, diğer yatırım fonu katılma paylarından elde edilen kazançlar için </w:t>
      </w:r>
      <w:r w:rsidRPr="00304C0A">
        <w:rPr>
          <w:b/>
          <w:bCs/>
          <w:i/>
          <w:iCs/>
          <w:sz w:val="20"/>
          <w:szCs w:val="20"/>
        </w:rPr>
        <w:t>%17,5,</w:t>
      </w:r>
    </w:p>
    <w:p w14:paraId="052983B2" w14:textId="77777777" w:rsidR="00F523B0" w:rsidRPr="00733B12" w:rsidRDefault="00F523B0" w:rsidP="00352071">
      <w:pPr>
        <w:shd w:val="clear" w:color="auto" w:fill="F2F2F2" w:themeFill="background1" w:themeFillShade="F2"/>
        <w:jc w:val="both"/>
        <w:rPr>
          <w:b/>
          <w:bCs/>
          <w:i/>
          <w:iCs/>
          <w:sz w:val="20"/>
          <w:szCs w:val="20"/>
        </w:rPr>
      </w:pPr>
      <w:proofErr w:type="gramStart"/>
      <w:r w:rsidRPr="00733B12">
        <w:rPr>
          <w:b/>
          <w:bCs/>
          <w:i/>
          <w:iCs/>
          <w:sz w:val="20"/>
          <w:szCs w:val="20"/>
        </w:rPr>
        <w:t>ç</w:t>
      </w:r>
      <w:proofErr w:type="gramEnd"/>
      <w:r w:rsidRPr="00733B12">
        <w:rPr>
          <w:b/>
          <w:bCs/>
          <w:i/>
          <w:iCs/>
          <w:sz w:val="20"/>
          <w:szCs w:val="20"/>
        </w:rPr>
        <w:t>) (11) numaralı fıkrada yer alan oran;</w:t>
      </w:r>
    </w:p>
    <w:p w14:paraId="24AE0587" w14:textId="78FD92D5" w:rsidR="00F523B0" w:rsidRPr="00F523B0" w:rsidRDefault="00F523B0" w:rsidP="00352071">
      <w:pPr>
        <w:shd w:val="clear" w:color="auto" w:fill="F2F2F2" w:themeFill="background1" w:themeFillShade="F2"/>
        <w:jc w:val="both"/>
        <w:rPr>
          <w:i/>
          <w:iCs/>
          <w:sz w:val="20"/>
          <w:szCs w:val="20"/>
        </w:rPr>
      </w:pPr>
      <w:r w:rsidRPr="00352071">
        <w:rPr>
          <w:i/>
          <w:iCs/>
          <w:sz w:val="20"/>
          <w:szCs w:val="20"/>
        </w:rPr>
        <w:t>…</w:t>
      </w:r>
    </w:p>
    <w:p w14:paraId="4316D8EB" w14:textId="0BBC2ED0" w:rsidR="00F523B0" w:rsidRPr="00F523B0" w:rsidRDefault="00F523B0" w:rsidP="00352071">
      <w:pPr>
        <w:shd w:val="clear" w:color="auto" w:fill="F2F2F2" w:themeFill="background1" w:themeFillShade="F2"/>
        <w:jc w:val="both"/>
        <w:rPr>
          <w:b/>
          <w:bCs/>
          <w:i/>
          <w:iCs/>
          <w:sz w:val="20"/>
          <w:szCs w:val="20"/>
        </w:rPr>
      </w:pPr>
      <w:r w:rsidRPr="00F523B0">
        <w:rPr>
          <w:i/>
          <w:iCs/>
          <w:sz w:val="20"/>
          <w:szCs w:val="20"/>
        </w:rPr>
        <w:t xml:space="preserve">ii) Hisse senedi yoğun fonların katılma paylarından, iki yıldan fazla süreyle elde tutulan girişim sermayesi yatırım fonu ve gayrimenkul yatırım fonu katılma paylarından elde edilen kazançlar için %0, diğer yatırım fonu katılma paylarından elde edilen kazançlar için </w:t>
      </w:r>
      <w:r w:rsidRPr="00F523B0">
        <w:rPr>
          <w:b/>
          <w:bCs/>
          <w:i/>
          <w:iCs/>
          <w:sz w:val="20"/>
          <w:szCs w:val="20"/>
        </w:rPr>
        <w:t>%17,5,</w:t>
      </w:r>
    </w:p>
    <w:p w14:paraId="791D51B1" w14:textId="77777777" w:rsidR="00F523B0" w:rsidRPr="00352071" w:rsidRDefault="00F523B0" w:rsidP="00352071">
      <w:pPr>
        <w:shd w:val="clear" w:color="auto" w:fill="F2F2F2" w:themeFill="background1" w:themeFillShade="F2"/>
        <w:jc w:val="both"/>
        <w:rPr>
          <w:i/>
          <w:iCs/>
          <w:sz w:val="20"/>
          <w:szCs w:val="20"/>
        </w:rPr>
      </w:pPr>
    </w:p>
    <w:p w14:paraId="45037251" w14:textId="6EE3F420" w:rsidR="00F523B0" w:rsidRPr="00733B12" w:rsidRDefault="00F523B0" w:rsidP="00352071">
      <w:pPr>
        <w:shd w:val="clear" w:color="auto" w:fill="F2F2F2" w:themeFill="background1" w:themeFillShade="F2"/>
        <w:jc w:val="both"/>
        <w:rPr>
          <w:b/>
          <w:bCs/>
          <w:i/>
          <w:iCs/>
          <w:sz w:val="20"/>
          <w:szCs w:val="20"/>
        </w:rPr>
      </w:pPr>
      <w:r w:rsidRPr="00733B12">
        <w:rPr>
          <w:b/>
          <w:bCs/>
          <w:i/>
          <w:iCs/>
          <w:sz w:val="20"/>
          <w:szCs w:val="20"/>
        </w:rPr>
        <w:t> d)</w:t>
      </w:r>
      <w:r w:rsidRPr="00352071">
        <w:rPr>
          <w:i/>
          <w:iCs/>
          <w:sz w:val="20"/>
          <w:szCs w:val="20"/>
        </w:rPr>
        <w:t xml:space="preserve"> </w:t>
      </w:r>
      <w:r w:rsidRPr="00733B12">
        <w:rPr>
          <w:b/>
          <w:bCs/>
          <w:i/>
          <w:iCs/>
          <w:sz w:val="20"/>
          <w:szCs w:val="20"/>
        </w:rPr>
        <w:t>Bankalar arası mevduat ile aracı kurumların borsa para piyasasında değerlendirdikleri kendilerine ait paralarına yürütülen faizler hariç olmak üzere, Gelir Vergisi Kanunu’nun 75’inci maddesinin ikinci fıkrasının (7) ve (12) numaralı bentlerinde yazılı menkul sermaye iratlarından,</w:t>
      </w:r>
    </w:p>
    <w:p w14:paraId="7999AFBA" w14:textId="5909B05D" w:rsidR="00F523B0" w:rsidRPr="00352071" w:rsidRDefault="00F523B0" w:rsidP="00352071">
      <w:pPr>
        <w:shd w:val="clear" w:color="auto" w:fill="F2F2F2" w:themeFill="background1" w:themeFillShade="F2"/>
        <w:jc w:val="both"/>
        <w:rPr>
          <w:i/>
          <w:iCs/>
          <w:sz w:val="20"/>
          <w:szCs w:val="20"/>
        </w:rPr>
      </w:pPr>
      <w:r w:rsidRPr="00352071">
        <w:rPr>
          <w:i/>
          <w:iCs/>
          <w:sz w:val="20"/>
          <w:szCs w:val="20"/>
        </w:rPr>
        <w:t>…</w:t>
      </w:r>
    </w:p>
    <w:p w14:paraId="706C7AD2" w14:textId="1E8714D8" w:rsidR="00F523B0" w:rsidRPr="00F523B0" w:rsidRDefault="00F523B0" w:rsidP="00352071">
      <w:pPr>
        <w:shd w:val="clear" w:color="auto" w:fill="F2F2F2" w:themeFill="background1" w:themeFillShade="F2"/>
        <w:jc w:val="both"/>
        <w:rPr>
          <w:i/>
          <w:iCs/>
          <w:sz w:val="20"/>
          <w:szCs w:val="20"/>
        </w:rPr>
      </w:pPr>
      <w:r w:rsidRPr="00F523B0">
        <w:rPr>
          <w:i/>
          <w:iCs/>
          <w:sz w:val="20"/>
          <w:szCs w:val="20"/>
        </w:rPr>
        <w:t>2) Mevduat faizlerinden;</w:t>
      </w:r>
    </w:p>
    <w:p w14:paraId="0CB0D0A4" w14:textId="5990060C" w:rsidR="00F523B0" w:rsidRPr="00F523B0" w:rsidRDefault="00F523B0" w:rsidP="00352071">
      <w:pPr>
        <w:shd w:val="clear" w:color="auto" w:fill="F2F2F2" w:themeFill="background1" w:themeFillShade="F2"/>
        <w:jc w:val="both"/>
        <w:rPr>
          <w:i/>
          <w:iCs/>
          <w:sz w:val="20"/>
          <w:szCs w:val="20"/>
        </w:rPr>
      </w:pPr>
      <w:r w:rsidRPr="00F523B0">
        <w:rPr>
          <w:i/>
          <w:iCs/>
          <w:sz w:val="20"/>
          <w:szCs w:val="20"/>
        </w:rPr>
        <w:t xml:space="preserve">          i) Vadesiz ve ihbarlı hesaplar ile 6 aya kadar (6 ay dâhil) vadeli hesaplarda </w:t>
      </w:r>
      <w:r w:rsidRPr="00F523B0">
        <w:rPr>
          <w:b/>
          <w:bCs/>
          <w:i/>
          <w:iCs/>
          <w:sz w:val="20"/>
          <w:szCs w:val="20"/>
        </w:rPr>
        <w:t>%17,5,</w:t>
      </w:r>
    </w:p>
    <w:p w14:paraId="7640CAEA" w14:textId="461CE03B" w:rsidR="00F523B0" w:rsidRPr="00F523B0" w:rsidRDefault="00F523B0" w:rsidP="00352071">
      <w:pPr>
        <w:shd w:val="clear" w:color="auto" w:fill="F2F2F2" w:themeFill="background1" w:themeFillShade="F2"/>
        <w:jc w:val="both"/>
        <w:rPr>
          <w:i/>
          <w:iCs/>
          <w:sz w:val="20"/>
          <w:szCs w:val="20"/>
        </w:rPr>
      </w:pPr>
      <w:r w:rsidRPr="00F523B0">
        <w:rPr>
          <w:i/>
          <w:iCs/>
          <w:sz w:val="20"/>
          <w:szCs w:val="20"/>
        </w:rPr>
        <w:t xml:space="preserve">          ii) 1 yıla kadar (1 yıl dâhil) vadeli hesaplarda </w:t>
      </w:r>
      <w:r w:rsidRPr="00F523B0">
        <w:rPr>
          <w:b/>
          <w:bCs/>
          <w:i/>
          <w:iCs/>
          <w:sz w:val="20"/>
          <w:szCs w:val="20"/>
        </w:rPr>
        <w:t>%15,</w:t>
      </w:r>
    </w:p>
    <w:p w14:paraId="2EB55AB6" w14:textId="7C882816" w:rsidR="00F523B0" w:rsidRPr="00F523B0" w:rsidRDefault="00F523B0" w:rsidP="00352071">
      <w:pPr>
        <w:shd w:val="clear" w:color="auto" w:fill="F2F2F2" w:themeFill="background1" w:themeFillShade="F2"/>
        <w:jc w:val="both"/>
        <w:rPr>
          <w:i/>
          <w:iCs/>
          <w:sz w:val="20"/>
          <w:szCs w:val="20"/>
        </w:rPr>
      </w:pPr>
      <w:r w:rsidRPr="00F523B0">
        <w:rPr>
          <w:i/>
          <w:iCs/>
          <w:sz w:val="20"/>
          <w:szCs w:val="20"/>
        </w:rPr>
        <w:t>          iii)1 yıldan uzun vadeli hesaplarda %10,</w:t>
      </w:r>
    </w:p>
    <w:p w14:paraId="7E65BA93" w14:textId="66D6034C" w:rsidR="00F523B0" w:rsidRPr="00F523B0" w:rsidRDefault="00F523B0" w:rsidP="00352071">
      <w:pPr>
        <w:shd w:val="clear" w:color="auto" w:fill="F2F2F2" w:themeFill="background1" w:themeFillShade="F2"/>
        <w:jc w:val="both"/>
        <w:rPr>
          <w:i/>
          <w:iCs/>
          <w:sz w:val="20"/>
          <w:szCs w:val="20"/>
        </w:rPr>
      </w:pPr>
      <w:r w:rsidRPr="00F523B0">
        <w:rPr>
          <w:i/>
          <w:iCs/>
          <w:sz w:val="20"/>
          <w:szCs w:val="20"/>
        </w:rPr>
        <w:t>          iv) Enflasyon oranına bağlı olarak değişken faiz oranı uygulanan 1 yıldan uzun vadeli hesaplarda %0,</w:t>
      </w:r>
    </w:p>
    <w:p w14:paraId="1FB39E07" w14:textId="0875C33A" w:rsidR="00F523B0" w:rsidRPr="00F523B0" w:rsidRDefault="00F523B0" w:rsidP="00352071">
      <w:pPr>
        <w:shd w:val="clear" w:color="auto" w:fill="F2F2F2" w:themeFill="background1" w:themeFillShade="F2"/>
        <w:jc w:val="both"/>
        <w:rPr>
          <w:i/>
          <w:iCs/>
          <w:sz w:val="20"/>
          <w:szCs w:val="20"/>
        </w:rPr>
      </w:pPr>
      <w:r w:rsidRPr="00352071">
        <w:rPr>
          <w:i/>
          <w:iCs/>
          <w:sz w:val="20"/>
          <w:szCs w:val="20"/>
        </w:rPr>
        <w:t xml:space="preserve">          </w:t>
      </w:r>
      <w:r w:rsidRPr="00F523B0">
        <w:rPr>
          <w:i/>
          <w:iCs/>
          <w:sz w:val="20"/>
          <w:szCs w:val="20"/>
        </w:rPr>
        <w:t xml:space="preserve">v) Kur korumalı vadeli mevduat hesapları ile döviz tevdiat hesaplarından dönüşüm kuru üzerinden Türk lirasına çevrilen mevduat hesaplarından; 6 aya kadar (6 ay dâhil) vadeli olanlarda </w:t>
      </w:r>
      <w:r w:rsidRPr="00F523B0">
        <w:rPr>
          <w:b/>
          <w:bCs/>
          <w:i/>
          <w:iCs/>
          <w:sz w:val="20"/>
          <w:szCs w:val="20"/>
        </w:rPr>
        <w:t>%17,5,</w:t>
      </w:r>
      <w:r w:rsidRPr="00F523B0">
        <w:rPr>
          <w:i/>
          <w:iCs/>
          <w:sz w:val="20"/>
          <w:szCs w:val="20"/>
        </w:rPr>
        <w:t xml:space="preserve"> 1 yıla kadar (1 yıl dâhil) vadeli olanlarda </w:t>
      </w:r>
      <w:r w:rsidRPr="00F523B0">
        <w:rPr>
          <w:b/>
          <w:bCs/>
          <w:i/>
          <w:iCs/>
          <w:sz w:val="20"/>
          <w:szCs w:val="20"/>
        </w:rPr>
        <w:t>%15,</w:t>
      </w:r>
      <w:r w:rsidRPr="00F523B0">
        <w:rPr>
          <w:i/>
          <w:iCs/>
          <w:sz w:val="20"/>
          <w:szCs w:val="20"/>
        </w:rPr>
        <w:t xml:space="preserve"> 1 yıldan uzun vadeli olanlarda </w:t>
      </w:r>
      <w:proofErr w:type="gramStart"/>
      <w:r w:rsidRPr="00F523B0">
        <w:rPr>
          <w:i/>
          <w:iCs/>
          <w:sz w:val="20"/>
          <w:szCs w:val="20"/>
        </w:rPr>
        <w:t>% 10</w:t>
      </w:r>
      <w:proofErr w:type="gramEnd"/>
      <w:r w:rsidRPr="00F523B0">
        <w:rPr>
          <w:i/>
          <w:iCs/>
          <w:sz w:val="20"/>
          <w:szCs w:val="20"/>
        </w:rPr>
        <w:t>,</w:t>
      </w:r>
    </w:p>
    <w:p w14:paraId="48C23980" w14:textId="39403518" w:rsidR="00F523B0" w:rsidRPr="00F523B0" w:rsidRDefault="00352071" w:rsidP="00352071">
      <w:pPr>
        <w:shd w:val="clear" w:color="auto" w:fill="F2F2F2" w:themeFill="background1" w:themeFillShade="F2"/>
        <w:jc w:val="both"/>
        <w:rPr>
          <w:b/>
          <w:bCs/>
          <w:i/>
          <w:iCs/>
          <w:sz w:val="20"/>
          <w:szCs w:val="20"/>
        </w:rPr>
      </w:pPr>
      <w:r>
        <w:rPr>
          <w:i/>
          <w:iCs/>
          <w:sz w:val="20"/>
          <w:szCs w:val="20"/>
        </w:rPr>
        <w:t xml:space="preserve">         </w:t>
      </w:r>
      <w:r w:rsidR="00F523B0" w:rsidRPr="00F523B0">
        <w:rPr>
          <w:i/>
          <w:iCs/>
          <w:sz w:val="20"/>
          <w:szCs w:val="20"/>
        </w:rPr>
        <w:t xml:space="preserve">vi) Altın cinsinden mevduat hesaplarından dönüşüm fiyatı üzerinden Türk lirasına çevrilen mevduat hesaplarından; 6 aya kadar (6 ay dâhil) vadeli olanlarda </w:t>
      </w:r>
      <w:r w:rsidR="00F523B0" w:rsidRPr="00F523B0">
        <w:rPr>
          <w:b/>
          <w:bCs/>
          <w:i/>
          <w:iCs/>
          <w:sz w:val="20"/>
          <w:szCs w:val="20"/>
        </w:rPr>
        <w:t>%17,5,</w:t>
      </w:r>
      <w:r w:rsidR="00F523B0" w:rsidRPr="00F523B0">
        <w:rPr>
          <w:i/>
          <w:iCs/>
          <w:sz w:val="20"/>
          <w:szCs w:val="20"/>
        </w:rPr>
        <w:t xml:space="preserve"> 1 yıla kadar (1 yıl dâhil) vadeli olanlarda </w:t>
      </w:r>
      <w:r w:rsidR="00F523B0" w:rsidRPr="00F523B0">
        <w:rPr>
          <w:b/>
          <w:bCs/>
          <w:i/>
          <w:iCs/>
          <w:sz w:val="20"/>
          <w:szCs w:val="20"/>
        </w:rPr>
        <w:t>%15.</w:t>
      </w:r>
    </w:p>
    <w:p w14:paraId="5E24BDDD" w14:textId="77777777" w:rsidR="00F523B0" w:rsidRPr="00F523B0" w:rsidRDefault="00F523B0" w:rsidP="00352071">
      <w:pPr>
        <w:shd w:val="clear" w:color="auto" w:fill="F2F2F2" w:themeFill="background1" w:themeFillShade="F2"/>
        <w:jc w:val="both"/>
        <w:rPr>
          <w:i/>
          <w:iCs/>
          <w:sz w:val="20"/>
          <w:szCs w:val="20"/>
        </w:rPr>
      </w:pPr>
      <w:r w:rsidRPr="00F523B0">
        <w:rPr>
          <w:i/>
          <w:iCs/>
          <w:sz w:val="20"/>
          <w:szCs w:val="20"/>
        </w:rPr>
        <w:t>3) Katılım bankaları tarafından katılma hesabı karşılığında ödenen kar paylarından;</w:t>
      </w:r>
    </w:p>
    <w:p w14:paraId="4294A35F" w14:textId="0759040E" w:rsidR="00F523B0" w:rsidRPr="00F523B0" w:rsidRDefault="00F523B0" w:rsidP="00352071">
      <w:pPr>
        <w:shd w:val="clear" w:color="auto" w:fill="F2F2F2" w:themeFill="background1" w:themeFillShade="F2"/>
        <w:jc w:val="both"/>
        <w:rPr>
          <w:b/>
          <w:bCs/>
          <w:i/>
          <w:iCs/>
          <w:sz w:val="20"/>
          <w:szCs w:val="20"/>
        </w:rPr>
      </w:pPr>
      <w:r w:rsidRPr="00F523B0">
        <w:rPr>
          <w:i/>
          <w:iCs/>
          <w:sz w:val="20"/>
          <w:szCs w:val="20"/>
        </w:rPr>
        <w:t xml:space="preserve">         i) Vadesiz, ihbarlı ve özel cari hesaplar ile 6 aya kadar (6 ay dâhil) vadeli hesaplarda </w:t>
      </w:r>
      <w:r w:rsidRPr="00F523B0">
        <w:rPr>
          <w:b/>
          <w:bCs/>
          <w:i/>
          <w:iCs/>
          <w:sz w:val="20"/>
          <w:szCs w:val="20"/>
        </w:rPr>
        <w:t>%17,5,</w:t>
      </w:r>
    </w:p>
    <w:p w14:paraId="5B4C566A" w14:textId="30E93155" w:rsidR="00F523B0" w:rsidRPr="00F523B0" w:rsidRDefault="00F523B0" w:rsidP="00352071">
      <w:pPr>
        <w:shd w:val="clear" w:color="auto" w:fill="F2F2F2" w:themeFill="background1" w:themeFillShade="F2"/>
        <w:jc w:val="both"/>
        <w:rPr>
          <w:i/>
          <w:iCs/>
          <w:sz w:val="20"/>
          <w:szCs w:val="20"/>
        </w:rPr>
      </w:pPr>
      <w:r w:rsidRPr="00F523B0">
        <w:rPr>
          <w:i/>
          <w:iCs/>
          <w:sz w:val="20"/>
          <w:szCs w:val="20"/>
        </w:rPr>
        <w:t xml:space="preserve">         ii) 1 yıla kadar (1 yıl dâhil) vadeli hesaplarda </w:t>
      </w:r>
      <w:r w:rsidRPr="00F523B0">
        <w:rPr>
          <w:b/>
          <w:bCs/>
          <w:i/>
          <w:iCs/>
          <w:sz w:val="20"/>
          <w:szCs w:val="20"/>
        </w:rPr>
        <w:t>%15,</w:t>
      </w:r>
    </w:p>
    <w:p w14:paraId="1A9C17B9" w14:textId="78091D1F" w:rsidR="00F523B0" w:rsidRPr="00F523B0" w:rsidRDefault="00F523B0" w:rsidP="00352071">
      <w:pPr>
        <w:shd w:val="clear" w:color="auto" w:fill="F2F2F2" w:themeFill="background1" w:themeFillShade="F2"/>
        <w:jc w:val="both"/>
        <w:rPr>
          <w:i/>
          <w:iCs/>
          <w:sz w:val="20"/>
          <w:szCs w:val="20"/>
        </w:rPr>
      </w:pPr>
      <w:r w:rsidRPr="00F523B0">
        <w:rPr>
          <w:i/>
          <w:iCs/>
          <w:sz w:val="20"/>
          <w:szCs w:val="20"/>
        </w:rPr>
        <w:t>         iii) 1 yıldan uzun vadeli hesaplarda %10,</w:t>
      </w:r>
    </w:p>
    <w:p w14:paraId="7146C74E" w14:textId="1FDCAF33" w:rsidR="00F523B0" w:rsidRPr="00F523B0" w:rsidRDefault="00F523B0" w:rsidP="00352071">
      <w:pPr>
        <w:shd w:val="clear" w:color="auto" w:fill="F2F2F2" w:themeFill="background1" w:themeFillShade="F2"/>
        <w:jc w:val="both"/>
        <w:rPr>
          <w:i/>
          <w:iCs/>
          <w:sz w:val="20"/>
          <w:szCs w:val="20"/>
        </w:rPr>
      </w:pPr>
      <w:r w:rsidRPr="00F523B0">
        <w:rPr>
          <w:i/>
          <w:iCs/>
          <w:sz w:val="20"/>
          <w:szCs w:val="20"/>
        </w:rPr>
        <w:t xml:space="preserve">         iv) Kur korumalı vadeli katılma hesapları ile döviz cinsinden katılım fonu hesaplarından dönüşüm kuru üzerinden Türk lirasına çevrilen katılma hesaplarından; 6 aya kadar (6 ay dâhil) vadeli olanlarda </w:t>
      </w:r>
      <w:r w:rsidRPr="00F523B0">
        <w:rPr>
          <w:b/>
          <w:bCs/>
          <w:i/>
          <w:iCs/>
          <w:sz w:val="20"/>
          <w:szCs w:val="20"/>
        </w:rPr>
        <w:t>%17,5,</w:t>
      </w:r>
      <w:r w:rsidRPr="00F523B0">
        <w:rPr>
          <w:i/>
          <w:iCs/>
          <w:sz w:val="20"/>
          <w:szCs w:val="20"/>
        </w:rPr>
        <w:t xml:space="preserve"> 1 yıla kadar (1 yıl dâhil) vadeli olanlarda </w:t>
      </w:r>
      <w:r w:rsidRPr="00F523B0">
        <w:rPr>
          <w:b/>
          <w:bCs/>
          <w:i/>
          <w:iCs/>
          <w:sz w:val="20"/>
          <w:szCs w:val="20"/>
        </w:rPr>
        <w:t>%15,</w:t>
      </w:r>
      <w:r w:rsidRPr="00F523B0">
        <w:rPr>
          <w:i/>
          <w:iCs/>
          <w:sz w:val="20"/>
          <w:szCs w:val="20"/>
        </w:rPr>
        <w:t xml:space="preserve"> 1 yıldan uzun vadeli olanlarda %10,          </w:t>
      </w:r>
    </w:p>
    <w:p w14:paraId="4358F6E5" w14:textId="1B50A44D" w:rsidR="00F523B0" w:rsidRPr="00352071" w:rsidRDefault="00F523B0" w:rsidP="00352071">
      <w:pPr>
        <w:shd w:val="clear" w:color="auto" w:fill="F2F2F2" w:themeFill="background1" w:themeFillShade="F2"/>
        <w:jc w:val="both"/>
        <w:rPr>
          <w:b/>
          <w:bCs/>
          <w:i/>
          <w:iCs/>
          <w:sz w:val="20"/>
          <w:szCs w:val="20"/>
        </w:rPr>
      </w:pPr>
      <w:r w:rsidRPr="00F523B0">
        <w:rPr>
          <w:i/>
          <w:iCs/>
          <w:sz w:val="20"/>
          <w:szCs w:val="20"/>
        </w:rPr>
        <w:t xml:space="preserve">         v) Altın cinsinden katılım fonu hesaplarından dönüşüm fiyatı üzerinden Türk lirasına çevrilen katılma hesaplarından; 6 aya kadar (6 ay dâhil) vadeli olanlarda </w:t>
      </w:r>
      <w:r w:rsidRPr="00F523B0">
        <w:rPr>
          <w:b/>
          <w:bCs/>
          <w:i/>
          <w:iCs/>
          <w:sz w:val="20"/>
          <w:szCs w:val="20"/>
        </w:rPr>
        <w:t>%17,5,</w:t>
      </w:r>
      <w:r w:rsidRPr="00F523B0">
        <w:rPr>
          <w:i/>
          <w:iCs/>
          <w:sz w:val="20"/>
          <w:szCs w:val="20"/>
        </w:rPr>
        <w:t xml:space="preserve"> 1 yıla kadar (1 yıl dâhil) vadeli olanlarda </w:t>
      </w:r>
      <w:r w:rsidRPr="00F523B0">
        <w:rPr>
          <w:b/>
          <w:bCs/>
          <w:i/>
          <w:iCs/>
          <w:sz w:val="20"/>
          <w:szCs w:val="20"/>
        </w:rPr>
        <w:t>%15.</w:t>
      </w:r>
    </w:p>
    <w:p w14:paraId="20017A6F" w14:textId="59B8AEB2" w:rsidR="00F61DF1" w:rsidRDefault="00F61DF1" w:rsidP="00F61DF1">
      <w:r>
        <w:t xml:space="preserve">- </w:t>
      </w:r>
      <w:r w:rsidRPr="00F61DF1">
        <w:t>Karar’ın 1</w:t>
      </w:r>
      <w:r>
        <w:t>’</w:t>
      </w:r>
      <w:r w:rsidRPr="00F61DF1">
        <w:t>inci maddesi yayımı tarihinden itibaren iktisap edilen yatırım fonu katılma paylarından elde edilen kazançlara uygulanmak üzere yayımı tarihinde,</w:t>
      </w:r>
    </w:p>
    <w:p w14:paraId="66EAE301" w14:textId="403F0EF0" w:rsidR="00F61DF1" w:rsidRPr="00F61DF1" w:rsidRDefault="00F61DF1" w:rsidP="00F61DF1">
      <w:r>
        <w:lastRenderedPageBreak/>
        <w:t xml:space="preserve">- </w:t>
      </w:r>
      <w:r w:rsidRPr="00F61DF1">
        <w:t>2</w:t>
      </w:r>
      <w:r>
        <w:t>’</w:t>
      </w:r>
      <w:r w:rsidRPr="00F61DF1">
        <w:t>nci maddesi yayımı tarihinden itibaren vadesiz ve özel cari hesaplara ödenecek faizler ve kâr payları ile söz konusu tarihten itibaren açılan veya vadesi yenilenen vadeli hesaplara ödenecek faizler ve kâr payları için uygulanmak üzere yayımı tarihinde,</w:t>
      </w:r>
    </w:p>
    <w:p w14:paraId="5C1392C6" w14:textId="2B5D0C94" w:rsidR="00F61DF1" w:rsidRDefault="00F61DF1" w:rsidP="00F61DF1">
      <w:r>
        <w:t xml:space="preserve">- </w:t>
      </w:r>
      <w:r w:rsidRPr="00F61DF1">
        <w:t>Diğer hükümleri yayımı tarihinde, yürürlüğe girer.</w:t>
      </w:r>
    </w:p>
    <w:p w14:paraId="380E4131" w14:textId="77777777" w:rsidR="00576989" w:rsidRDefault="00576989" w:rsidP="00F61DF1"/>
    <w:p w14:paraId="426135A3" w14:textId="6ABCBB30" w:rsidR="00576989" w:rsidRDefault="00576989" w:rsidP="00576989">
      <w:pPr>
        <w:rPr>
          <w:b/>
          <w:bCs/>
          <w:sz w:val="26"/>
          <w:szCs w:val="26"/>
        </w:rPr>
      </w:pPr>
      <w:r w:rsidRPr="00576989">
        <w:rPr>
          <w:b/>
          <w:bCs/>
          <w:sz w:val="26"/>
          <w:szCs w:val="26"/>
        </w:rPr>
        <w:t>V- YEREL KALKINMA HAMLESİ PROGRAMI UYGULAMA USUL VE ESASLARI TEBLİĞİ YAYIMLANMIŞTIR</w:t>
      </w:r>
    </w:p>
    <w:p w14:paraId="17CBEE83" w14:textId="61A15FE8" w:rsidR="00576989" w:rsidRDefault="00CA5B37" w:rsidP="00734948">
      <w:pPr>
        <w:jc w:val="both"/>
      </w:pPr>
      <w:r>
        <w:t xml:space="preserve">30 Mayıs 2025 tarihli ve 32915 sayılı </w:t>
      </w:r>
      <w:proofErr w:type="gramStart"/>
      <w:r>
        <w:t>Resmi</w:t>
      </w:r>
      <w:proofErr w:type="gramEnd"/>
      <w:r>
        <w:t xml:space="preserve"> </w:t>
      </w:r>
      <w:proofErr w:type="spellStart"/>
      <w:r>
        <w:t>Gazete’de</w:t>
      </w:r>
      <w:proofErr w:type="spellEnd"/>
      <w:r>
        <w:t xml:space="preserve"> yayımlanan 9903 sayılı Cumhurbaşkanı Kararı ile “Yatırımlarda Devlet Yardımları Hakkında Karar” yayımlanmıştır. Bu Karar ile uygulanan teşvik sistemi önemli ölçüde değiştirilmiştir. Bu kapsamda y</w:t>
      </w:r>
      <w:r w:rsidR="00576989">
        <w:t xml:space="preserve">atırım teşvik sistemimizde yeniden düzenlenen Yerel Kalkınma Hamlesi Programı ile </w:t>
      </w:r>
      <w:proofErr w:type="spellStart"/>
      <w:r w:rsidR="00576989">
        <w:t>ilegili</w:t>
      </w:r>
      <w:proofErr w:type="spellEnd"/>
      <w:r w:rsidR="00576989">
        <w:t xml:space="preserve"> uygulama ve esaslara ilişkin Tebliğ</w:t>
      </w:r>
      <w:r>
        <w:t>,</w:t>
      </w:r>
      <w:r w:rsidR="00576989">
        <w:t xml:space="preserve"> 09 Temmuz 2025 tarihli ve 32951 sayılı Resmî </w:t>
      </w:r>
      <w:proofErr w:type="spellStart"/>
      <w:r w:rsidR="00576989">
        <w:t>Gazete’de</w:t>
      </w:r>
      <w:proofErr w:type="spellEnd"/>
      <w:r w:rsidR="00576989">
        <w:t xml:space="preserve"> yayımlanmıştır.</w:t>
      </w:r>
    </w:p>
    <w:p w14:paraId="66410E23" w14:textId="77777777" w:rsidR="00CA5B37" w:rsidRDefault="00CA5B37" w:rsidP="00CA5B37">
      <w:pPr>
        <w:jc w:val="both"/>
      </w:pPr>
      <w:r w:rsidRPr="00CA5B37">
        <w:t xml:space="preserve">Anılan Tebliğ, yerel ve bölgesel kalkınmayı sağlamak ve bölge içi ve bölgeler arası gelişmişlik farklarını azaltmak temel amaçları doğrultusunda; bölgelerin sahip olduğu potansiyellerin </w:t>
      </w:r>
      <w:r>
        <w:t>d</w:t>
      </w:r>
      <w:r w:rsidRPr="00CA5B37">
        <w:t>eğerlendirilmesi, </w:t>
      </w:r>
      <w:r>
        <w:t>a</w:t>
      </w:r>
      <w:r w:rsidRPr="00CA5B37">
        <w:t>tıl kaynakların kullanılması, yetkinliklerin harekete geçirilmesi, yerel ihtiyaçların karşılanması, teknoloji üretim seviyesinin yükseltilmesi ve bölgelerin sektörel öncelikleri doğrultusunda gelişmelerinin hızlandırılmasına yönelik olarak, yerel yatırım konularının desteklenmesine ilişkin uygulamaya dair hususları kapsa</w:t>
      </w:r>
      <w:r>
        <w:t>maktadır.</w:t>
      </w:r>
    </w:p>
    <w:p w14:paraId="0A8392B9" w14:textId="7A025108" w:rsidR="00CA5B37" w:rsidRDefault="00CA5B37" w:rsidP="00CA5B37">
      <w:pPr>
        <w:jc w:val="both"/>
      </w:pPr>
      <w:r>
        <w:t>Tebliğde uygulamaya ilişkin ayrıntılı açıklamalar bulunmaktadır.</w:t>
      </w:r>
    </w:p>
    <w:p w14:paraId="764E9982" w14:textId="7BF5C432" w:rsidR="00576989" w:rsidRPr="004B65F6" w:rsidRDefault="00AF1D26" w:rsidP="004B65F6">
      <w:pPr>
        <w:jc w:val="both"/>
        <w:rPr>
          <w:b/>
          <w:bCs/>
        </w:rPr>
      </w:pPr>
      <w:r w:rsidRPr="004B65F6">
        <w:rPr>
          <w:b/>
          <w:bCs/>
        </w:rPr>
        <w:t xml:space="preserve">Yerel Yatırım Konuları Listesi Tebliği de 09 Temmuz 2025 tarihli ve 32951 sayılı Resmî </w:t>
      </w:r>
      <w:proofErr w:type="spellStart"/>
      <w:r w:rsidRPr="004B65F6">
        <w:rPr>
          <w:b/>
          <w:bCs/>
        </w:rPr>
        <w:t>Gazete’de</w:t>
      </w:r>
      <w:proofErr w:type="spellEnd"/>
      <w:r w:rsidRPr="004B65F6">
        <w:rPr>
          <w:b/>
          <w:bCs/>
        </w:rPr>
        <w:t xml:space="preserve"> yayımlanmıştır. Anılan Tebliğde Yerel Kalkınma Hamlesi Programı hükümleri çerçevesinde yerel yatırım konuları listesi ek olarak yer almaktadır.</w:t>
      </w:r>
    </w:p>
    <w:p w14:paraId="77048D50" w14:textId="77777777" w:rsidR="00733B12" w:rsidRDefault="00733B12" w:rsidP="00F61DF1"/>
    <w:p w14:paraId="318D642B" w14:textId="77777777" w:rsidR="004B73DA" w:rsidRDefault="004B73DA"/>
    <w:sectPr w:rsidR="004B73D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64DEA" w14:textId="77777777" w:rsidR="00D956B9" w:rsidRDefault="00D956B9" w:rsidP="00494CBE">
      <w:pPr>
        <w:spacing w:after="0" w:line="240" w:lineRule="auto"/>
      </w:pPr>
      <w:r>
        <w:separator/>
      </w:r>
    </w:p>
  </w:endnote>
  <w:endnote w:type="continuationSeparator" w:id="0">
    <w:p w14:paraId="7DD9056D" w14:textId="77777777" w:rsidR="00D956B9" w:rsidRDefault="00D956B9" w:rsidP="00494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934731"/>
      <w:docPartObj>
        <w:docPartGallery w:val="Page Numbers (Bottom of Page)"/>
        <w:docPartUnique/>
      </w:docPartObj>
    </w:sdtPr>
    <w:sdtEndPr/>
    <w:sdtContent>
      <w:p w14:paraId="5798507F" w14:textId="1C40FC13" w:rsidR="00494CBE" w:rsidRDefault="00494CBE">
        <w:pPr>
          <w:pStyle w:val="AltBilgi"/>
          <w:jc w:val="right"/>
        </w:pPr>
        <w:r>
          <w:fldChar w:fldCharType="begin"/>
        </w:r>
        <w:r>
          <w:instrText>PAGE   \* MERGEFORMAT</w:instrText>
        </w:r>
        <w:r>
          <w:fldChar w:fldCharType="separate"/>
        </w:r>
        <w:r>
          <w:t>2</w:t>
        </w:r>
        <w:r>
          <w:fldChar w:fldCharType="end"/>
        </w:r>
      </w:p>
    </w:sdtContent>
  </w:sdt>
  <w:p w14:paraId="5034AFB9" w14:textId="77777777" w:rsidR="00494CBE" w:rsidRDefault="00494CB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74087" w14:textId="77777777" w:rsidR="00D956B9" w:rsidRDefault="00D956B9" w:rsidP="00494CBE">
      <w:pPr>
        <w:spacing w:after="0" w:line="240" w:lineRule="auto"/>
      </w:pPr>
      <w:r>
        <w:separator/>
      </w:r>
    </w:p>
  </w:footnote>
  <w:footnote w:type="continuationSeparator" w:id="0">
    <w:p w14:paraId="14A2E1DF" w14:textId="77777777" w:rsidR="00D956B9" w:rsidRDefault="00D956B9" w:rsidP="00494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23B0657A" w14:textId="7CB305BC" w:rsidR="0042570E" w:rsidRDefault="0042570E">
    <w:pPr>
      <w:pStyle w:val="stBilgi"/>
    </w:pPr>
    <w:r w:rsidRPr="00F22779">
      <w:rPr>
        <w:b/>
        <w:bCs/>
      </w:rPr>
      <w:object w:dxaOrig="9072" w:dyaOrig="1927" w14:anchorId="0978D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96.75pt">
          <v:imagedata r:id="rId1" o:title=""/>
        </v:shape>
        <o:OLEObject Type="Embed" ProgID="Word.Document.12" ShapeID="_x0000_i1025" DrawAspect="Content" ObjectID="_1813667277" r:id="rId2">
          <o:FieldCodes>\s</o:FieldCodes>
        </o:OLEObject>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0F"/>
    <w:rsid w:val="000B2465"/>
    <w:rsid w:val="000C53EF"/>
    <w:rsid w:val="00304C0A"/>
    <w:rsid w:val="00352071"/>
    <w:rsid w:val="0042570E"/>
    <w:rsid w:val="00494CBE"/>
    <w:rsid w:val="004B65F6"/>
    <w:rsid w:val="004B73DA"/>
    <w:rsid w:val="005479D8"/>
    <w:rsid w:val="00576989"/>
    <w:rsid w:val="006C100F"/>
    <w:rsid w:val="00733B12"/>
    <w:rsid w:val="00734948"/>
    <w:rsid w:val="00794D3A"/>
    <w:rsid w:val="008708B1"/>
    <w:rsid w:val="0088786E"/>
    <w:rsid w:val="0092384B"/>
    <w:rsid w:val="00977786"/>
    <w:rsid w:val="009B6807"/>
    <w:rsid w:val="00A45AC0"/>
    <w:rsid w:val="00A90490"/>
    <w:rsid w:val="00AF1D26"/>
    <w:rsid w:val="00C23507"/>
    <w:rsid w:val="00C63969"/>
    <w:rsid w:val="00CA5B37"/>
    <w:rsid w:val="00D956B9"/>
    <w:rsid w:val="00E015EB"/>
    <w:rsid w:val="00E134DD"/>
    <w:rsid w:val="00ED1531"/>
    <w:rsid w:val="00F523B0"/>
    <w:rsid w:val="00F61D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3755"/>
  <w15:chartTrackingRefBased/>
  <w15:docId w15:val="{1A613D29-C645-4F66-82B8-F7D454F1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C10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C10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C100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C100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C100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C100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C100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C100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C100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C100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C100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C100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C100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C100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C100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C100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C100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C100F"/>
    <w:rPr>
      <w:rFonts w:eastAsiaTheme="majorEastAsia" w:cstheme="majorBidi"/>
      <w:color w:val="272727" w:themeColor="text1" w:themeTint="D8"/>
    </w:rPr>
  </w:style>
  <w:style w:type="paragraph" w:styleId="KonuBal">
    <w:name w:val="Title"/>
    <w:basedOn w:val="Normal"/>
    <w:next w:val="Normal"/>
    <w:link w:val="KonuBalChar"/>
    <w:uiPriority w:val="10"/>
    <w:qFormat/>
    <w:rsid w:val="006C1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C100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C100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C100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C100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C100F"/>
    <w:rPr>
      <w:i/>
      <w:iCs/>
      <w:color w:val="404040" w:themeColor="text1" w:themeTint="BF"/>
    </w:rPr>
  </w:style>
  <w:style w:type="paragraph" w:styleId="ListeParagraf">
    <w:name w:val="List Paragraph"/>
    <w:basedOn w:val="Normal"/>
    <w:uiPriority w:val="34"/>
    <w:qFormat/>
    <w:rsid w:val="006C100F"/>
    <w:pPr>
      <w:ind w:left="720"/>
      <w:contextualSpacing/>
    </w:pPr>
  </w:style>
  <w:style w:type="character" w:styleId="GlVurgulama">
    <w:name w:val="Intense Emphasis"/>
    <w:basedOn w:val="VarsaylanParagrafYazTipi"/>
    <w:uiPriority w:val="21"/>
    <w:qFormat/>
    <w:rsid w:val="006C100F"/>
    <w:rPr>
      <w:i/>
      <w:iCs/>
      <w:color w:val="2F5496" w:themeColor="accent1" w:themeShade="BF"/>
    </w:rPr>
  </w:style>
  <w:style w:type="paragraph" w:styleId="GlAlnt">
    <w:name w:val="Intense Quote"/>
    <w:basedOn w:val="Normal"/>
    <w:next w:val="Normal"/>
    <w:link w:val="GlAlntChar"/>
    <w:uiPriority w:val="30"/>
    <w:qFormat/>
    <w:rsid w:val="006C1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C100F"/>
    <w:rPr>
      <w:i/>
      <w:iCs/>
      <w:color w:val="2F5496" w:themeColor="accent1" w:themeShade="BF"/>
    </w:rPr>
  </w:style>
  <w:style w:type="character" w:styleId="GlBavuru">
    <w:name w:val="Intense Reference"/>
    <w:basedOn w:val="VarsaylanParagrafYazTipi"/>
    <w:uiPriority w:val="32"/>
    <w:qFormat/>
    <w:rsid w:val="006C100F"/>
    <w:rPr>
      <w:b/>
      <w:bCs/>
      <w:smallCaps/>
      <w:color w:val="2F5496" w:themeColor="accent1" w:themeShade="BF"/>
      <w:spacing w:val="5"/>
    </w:rPr>
  </w:style>
  <w:style w:type="paragraph" w:styleId="stBilgi">
    <w:name w:val="header"/>
    <w:basedOn w:val="Normal"/>
    <w:link w:val="stBilgiChar"/>
    <w:uiPriority w:val="99"/>
    <w:unhideWhenUsed/>
    <w:rsid w:val="006C10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C100F"/>
  </w:style>
  <w:style w:type="paragraph" w:styleId="NormalWeb">
    <w:name w:val="Normal (Web)"/>
    <w:basedOn w:val="Normal"/>
    <w:uiPriority w:val="99"/>
    <w:rsid w:val="006C100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qFormat/>
    <w:rsid w:val="006C100F"/>
    <w:rPr>
      <w:b/>
      <w:bCs/>
    </w:rPr>
  </w:style>
  <w:style w:type="character" w:styleId="Kpr">
    <w:name w:val="Hyperlink"/>
    <w:basedOn w:val="VarsaylanParagrafYazTipi"/>
    <w:uiPriority w:val="99"/>
    <w:unhideWhenUsed/>
    <w:rsid w:val="00304C0A"/>
    <w:rPr>
      <w:color w:val="0563C1" w:themeColor="hyperlink"/>
      <w:u w:val="single"/>
    </w:rPr>
  </w:style>
  <w:style w:type="character" w:styleId="zmlenmeyenBahsetme">
    <w:name w:val="Unresolved Mention"/>
    <w:basedOn w:val="VarsaylanParagrafYazTipi"/>
    <w:uiPriority w:val="99"/>
    <w:semiHidden/>
    <w:unhideWhenUsed/>
    <w:rsid w:val="00304C0A"/>
    <w:rPr>
      <w:color w:val="605E5C"/>
      <w:shd w:val="clear" w:color="auto" w:fill="E1DFDD"/>
    </w:rPr>
  </w:style>
  <w:style w:type="paragraph" w:styleId="AltBilgi">
    <w:name w:val="footer"/>
    <w:basedOn w:val="Normal"/>
    <w:link w:val="AltBilgiChar"/>
    <w:uiPriority w:val="99"/>
    <w:unhideWhenUsed/>
    <w:rsid w:val="00494C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4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4789">
      <w:bodyDiv w:val="1"/>
      <w:marLeft w:val="0"/>
      <w:marRight w:val="0"/>
      <w:marTop w:val="0"/>
      <w:marBottom w:val="0"/>
      <w:divBdr>
        <w:top w:val="none" w:sz="0" w:space="0" w:color="auto"/>
        <w:left w:val="none" w:sz="0" w:space="0" w:color="auto"/>
        <w:bottom w:val="none" w:sz="0" w:space="0" w:color="auto"/>
        <w:right w:val="none" w:sz="0" w:space="0" w:color="auto"/>
      </w:divBdr>
    </w:div>
    <w:div w:id="81994413">
      <w:bodyDiv w:val="1"/>
      <w:marLeft w:val="0"/>
      <w:marRight w:val="0"/>
      <w:marTop w:val="0"/>
      <w:marBottom w:val="0"/>
      <w:divBdr>
        <w:top w:val="none" w:sz="0" w:space="0" w:color="auto"/>
        <w:left w:val="none" w:sz="0" w:space="0" w:color="auto"/>
        <w:bottom w:val="none" w:sz="0" w:space="0" w:color="auto"/>
        <w:right w:val="none" w:sz="0" w:space="0" w:color="auto"/>
      </w:divBdr>
    </w:div>
    <w:div w:id="221331824">
      <w:bodyDiv w:val="1"/>
      <w:marLeft w:val="0"/>
      <w:marRight w:val="0"/>
      <w:marTop w:val="0"/>
      <w:marBottom w:val="0"/>
      <w:divBdr>
        <w:top w:val="none" w:sz="0" w:space="0" w:color="auto"/>
        <w:left w:val="none" w:sz="0" w:space="0" w:color="auto"/>
        <w:bottom w:val="none" w:sz="0" w:space="0" w:color="auto"/>
        <w:right w:val="none" w:sz="0" w:space="0" w:color="auto"/>
      </w:divBdr>
    </w:div>
    <w:div w:id="420302188">
      <w:bodyDiv w:val="1"/>
      <w:marLeft w:val="0"/>
      <w:marRight w:val="0"/>
      <w:marTop w:val="0"/>
      <w:marBottom w:val="0"/>
      <w:divBdr>
        <w:top w:val="none" w:sz="0" w:space="0" w:color="auto"/>
        <w:left w:val="none" w:sz="0" w:space="0" w:color="auto"/>
        <w:bottom w:val="none" w:sz="0" w:space="0" w:color="auto"/>
        <w:right w:val="none" w:sz="0" w:space="0" w:color="auto"/>
      </w:divBdr>
    </w:div>
    <w:div w:id="498733121">
      <w:bodyDiv w:val="1"/>
      <w:marLeft w:val="0"/>
      <w:marRight w:val="0"/>
      <w:marTop w:val="0"/>
      <w:marBottom w:val="0"/>
      <w:divBdr>
        <w:top w:val="none" w:sz="0" w:space="0" w:color="auto"/>
        <w:left w:val="none" w:sz="0" w:space="0" w:color="auto"/>
        <w:bottom w:val="none" w:sz="0" w:space="0" w:color="auto"/>
        <w:right w:val="none" w:sz="0" w:space="0" w:color="auto"/>
      </w:divBdr>
    </w:div>
    <w:div w:id="568228355">
      <w:bodyDiv w:val="1"/>
      <w:marLeft w:val="0"/>
      <w:marRight w:val="0"/>
      <w:marTop w:val="0"/>
      <w:marBottom w:val="0"/>
      <w:divBdr>
        <w:top w:val="none" w:sz="0" w:space="0" w:color="auto"/>
        <w:left w:val="none" w:sz="0" w:space="0" w:color="auto"/>
        <w:bottom w:val="none" w:sz="0" w:space="0" w:color="auto"/>
        <w:right w:val="none" w:sz="0" w:space="0" w:color="auto"/>
      </w:divBdr>
    </w:div>
    <w:div w:id="585187179">
      <w:bodyDiv w:val="1"/>
      <w:marLeft w:val="0"/>
      <w:marRight w:val="0"/>
      <w:marTop w:val="0"/>
      <w:marBottom w:val="0"/>
      <w:divBdr>
        <w:top w:val="none" w:sz="0" w:space="0" w:color="auto"/>
        <w:left w:val="none" w:sz="0" w:space="0" w:color="auto"/>
        <w:bottom w:val="none" w:sz="0" w:space="0" w:color="auto"/>
        <w:right w:val="none" w:sz="0" w:space="0" w:color="auto"/>
      </w:divBdr>
    </w:div>
    <w:div w:id="622154612">
      <w:bodyDiv w:val="1"/>
      <w:marLeft w:val="0"/>
      <w:marRight w:val="0"/>
      <w:marTop w:val="0"/>
      <w:marBottom w:val="0"/>
      <w:divBdr>
        <w:top w:val="none" w:sz="0" w:space="0" w:color="auto"/>
        <w:left w:val="none" w:sz="0" w:space="0" w:color="auto"/>
        <w:bottom w:val="none" w:sz="0" w:space="0" w:color="auto"/>
        <w:right w:val="none" w:sz="0" w:space="0" w:color="auto"/>
      </w:divBdr>
    </w:div>
    <w:div w:id="910579388">
      <w:bodyDiv w:val="1"/>
      <w:marLeft w:val="0"/>
      <w:marRight w:val="0"/>
      <w:marTop w:val="0"/>
      <w:marBottom w:val="0"/>
      <w:divBdr>
        <w:top w:val="none" w:sz="0" w:space="0" w:color="auto"/>
        <w:left w:val="none" w:sz="0" w:space="0" w:color="auto"/>
        <w:bottom w:val="none" w:sz="0" w:space="0" w:color="auto"/>
        <w:right w:val="none" w:sz="0" w:space="0" w:color="auto"/>
      </w:divBdr>
    </w:div>
    <w:div w:id="928005172">
      <w:bodyDiv w:val="1"/>
      <w:marLeft w:val="0"/>
      <w:marRight w:val="0"/>
      <w:marTop w:val="0"/>
      <w:marBottom w:val="0"/>
      <w:divBdr>
        <w:top w:val="none" w:sz="0" w:space="0" w:color="auto"/>
        <w:left w:val="none" w:sz="0" w:space="0" w:color="auto"/>
        <w:bottom w:val="none" w:sz="0" w:space="0" w:color="auto"/>
        <w:right w:val="none" w:sz="0" w:space="0" w:color="auto"/>
      </w:divBdr>
    </w:div>
    <w:div w:id="998924745">
      <w:bodyDiv w:val="1"/>
      <w:marLeft w:val="0"/>
      <w:marRight w:val="0"/>
      <w:marTop w:val="0"/>
      <w:marBottom w:val="0"/>
      <w:divBdr>
        <w:top w:val="none" w:sz="0" w:space="0" w:color="auto"/>
        <w:left w:val="none" w:sz="0" w:space="0" w:color="auto"/>
        <w:bottom w:val="none" w:sz="0" w:space="0" w:color="auto"/>
        <w:right w:val="none" w:sz="0" w:space="0" w:color="auto"/>
      </w:divBdr>
    </w:div>
    <w:div w:id="1161507443">
      <w:bodyDiv w:val="1"/>
      <w:marLeft w:val="0"/>
      <w:marRight w:val="0"/>
      <w:marTop w:val="0"/>
      <w:marBottom w:val="0"/>
      <w:divBdr>
        <w:top w:val="none" w:sz="0" w:space="0" w:color="auto"/>
        <w:left w:val="none" w:sz="0" w:space="0" w:color="auto"/>
        <w:bottom w:val="none" w:sz="0" w:space="0" w:color="auto"/>
        <w:right w:val="none" w:sz="0" w:space="0" w:color="auto"/>
      </w:divBdr>
    </w:div>
    <w:div w:id="1205101373">
      <w:bodyDiv w:val="1"/>
      <w:marLeft w:val="0"/>
      <w:marRight w:val="0"/>
      <w:marTop w:val="0"/>
      <w:marBottom w:val="0"/>
      <w:divBdr>
        <w:top w:val="none" w:sz="0" w:space="0" w:color="auto"/>
        <w:left w:val="none" w:sz="0" w:space="0" w:color="auto"/>
        <w:bottom w:val="none" w:sz="0" w:space="0" w:color="auto"/>
        <w:right w:val="none" w:sz="0" w:space="0" w:color="auto"/>
      </w:divBdr>
    </w:div>
    <w:div w:id="1410663224">
      <w:bodyDiv w:val="1"/>
      <w:marLeft w:val="0"/>
      <w:marRight w:val="0"/>
      <w:marTop w:val="0"/>
      <w:marBottom w:val="0"/>
      <w:divBdr>
        <w:top w:val="none" w:sz="0" w:space="0" w:color="auto"/>
        <w:left w:val="none" w:sz="0" w:space="0" w:color="auto"/>
        <w:bottom w:val="none" w:sz="0" w:space="0" w:color="auto"/>
        <w:right w:val="none" w:sz="0" w:space="0" w:color="auto"/>
      </w:divBdr>
    </w:div>
    <w:div w:id="1587886856">
      <w:bodyDiv w:val="1"/>
      <w:marLeft w:val="0"/>
      <w:marRight w:val="0"/>
      <w:marTop w:val="0"/>
      <w:marBottom w:val="0"/>
      <w:divBdr>
        <w:top w:val="none" w:sz="0" w:space="0" w:color="auto"/>
        <w:left w:val="none" w:sz="0" w:space="0" w:color="auto"/>
        <w:bottom w:val="none" w:sz="0" w:space="0" w:color="auto"/>
        <w:right w:val="none" w:sz="0" w:space="0" w:color="auto"/>
      </w:divBdr>
    </w:div>
    <w:div w:id="1773235550">
      <w:bodyDiv w:val="1"/>
      <w:marLeft w:val="0"/>
      <w:marRight w:val="0"/>
      <w:marTop w:val="0"/>
      <w:marBottom w:val="0"/>
      <w:divBdr>
        <w:top w:val="none" w:sz="0" w:space="0" w:color="auto"/>
        <w:left w:val="none" w:sz="0" w:space="0" w:color="auto"/>
        <w:bottom w:val="none" w:sz="0" w:space="0" w:color="auto"/>
        <w:right w:val="none" w:sz="0" w:space="0" w:color="auto"/>
      </w:divBdr>
    </w:div>
    <w:div w:id="1814835527">
      <w:bodyDiv w:val="1"/>
      <w:marLeft w:val="0"/>
      <w:marRight w:val="0"/>
      <w:marTop w:val="0"/>
      <w:marBottom w:val="0"/>
      <w:divBdr>
        <w:top w:val="none" w:sz="0" w:space="0" w:color="auto"/>
        <w:left w:val="none" w:sz="0" w:space="0" w:color="auto"/>
        <w:bottom w:val="none" w:sz="0" w:space="0" w:color="auto"/>
        <w:right w:val="none" w:sz="0" w:space="0" w:color="auto"/>
      </w:divBdr>
    </w:div>
    <w:div w:id="1816337318">
      <w:bodyDiv w:val="1"/>
      <w:marLeft w:val="0"/>
      <w:marRight w:val="0"/>
      <w:marTop w:val="0"/>
      <w:marBottom w:val="0"/>
      <w:divBdr>
        <w:top w:val="none" w:sz="0" w:space="0" w:color="auto"/>
        <w:left w:val="none" w:sz="0" w:space="0" w:color="auto"/>
        <w:bottom w:val="none" w:sz="0" w:space="0" w:color="auto"/>
        <w:right w:val="none" w:sz="0" w:space="0" w:color="auto"/>
      </w:divBdr>
    </w:div>
    <w:div w:id="1922566768">
      <w:bodyDiv w:val="1"/>
      <w:marLeft w:val="0"/>
      <w:marRight w:val="0"/>
      <w:marTop w:val="0"/>
      <w:marBottom w:val="0"/>
      <w:divBdr>
        <w:top w:val="none" w:sz="0" w:space="0" w:color="auto"/>
        <w:left w:val="none" w:sz="0" w:space="0" w:color="auto"/>
        <w:bottom w:val="none" w:sz="0" w:space="0" w:color="auto"/>
        <w:right w:val="none" w:sz="0" w:space="0" w:color="auto"/>
      </w:divBdr>
    </w:div>
    <w:div w:id="194465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lomaliye.com/2006/07/23/193-sayili-gelir-vergisi-kanununun-gecici-67-nci-maddesi-ve-5520-sayili-kurumlar-vergisi-kanununun-15-inci-ve-30-uncu-maddelerinde-yer-alan-bazi-tevkifat-nispetlerinin-yeniden-belirlenmesi-bkk-2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omaliye.com/2006/07/23/193-sayili-gelir-vergisi-kanununun-gecici-67-nci-maddesi-ve-5520-sayili-kurumlar-vergisi-kanununun-15-inci-ve-30-uncu-maddelerinde-yer-alan-bazi-tevkifat-nispetlerinin-yeniden-belirlenmesi-bkk-20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1564</Words>
  <Characters>8919</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19</cp:revision>
  <dcterms:created xsi:type="dcterms:W3CDTF">2025-07-10T10:07:00Z</dcterms:created>
  <dcterms:modified xsi:type="dcterms:W3CDTF">2025-07-10T12:42:00Z</dcterms:modified>
</cp:coreProperties>
</file>