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7C34C" w14:textId="29171EDB" w:rsidR="00805505" w:rsidRDefault="00F558E2" w:rsidP="00805505">
      <w:pPr>
        <w:spacing w:after="0" w:line="240" w:lineRule="auto"/>
        <w:jc w:val="center"/>
        <w:rPr>
          <w:b/>
          <w:bCs/>
          <w:sz w:val="32"/>
          <w:szCs w:val="32"/>
        </w:rPr>
      </w:pPr>
      <w:r>
        <w:rPr>
          <w:b/>
          <w:bCs/>
          <w:sz w:val="32"/>
          <w:szCs w:val="32"/>
        </w:rPr>
        <w:t xml:space="preserve">VERGİ MEVZUATINDAKİ GELİŞMELER </w:t>
      </w:r>
      <w:r w:rsidR="00805505" w:rsidRPr="00FC7ED4">
        <w:rPr>
          <w:b/>
          <w:bCs/>
          <w:sz w:val="32"/>
          <w:szCs w:val="32"/>
        </w:rPr>
        <w:t>202</w:t>
      </w:r>
      <w:r w:rsidR="00805505">
        <w:rPr>
          <w:b/>
          <w:bCs/>
          <w:sz w:val="32"/>
          <w:szCs w:val="32"/>
        </w:rPr>
        <w:t>5</w:t>
      </w:r>
      <w:r w:rsidR="00805505" w:rsidRPr="00FC7ED4">
        <w:rPr>
          <w:b/>
          <w:bCs/>
          <w:sz w:val="32"/>
          <w:szCs w:val="32"/>
        </w:rPr>
        <w:t>/</w:t>
      </w:r>
      <w:r w:rsidR="005C4BE6">
        <w:rPr>
          <w:b/>
          <w:bCs/>
          <w:sz w:val="32"/>
          <w:szCs w:val="32"/>
        </w:rPr>
        <w:t>ŞUBAT</w:t>
      </w:r>
      <w:r>
        <w:rPr>
          <w:b/>
          <w:bCs/>
          <w:sz w:val="32"/>
          <w:szCs w:val="32"/>
        </w:rPr>
        <w:t xml:space="preserve">- </w:t>
      </w:r>
      <w:r w:rsidR="005C4BE6">
        <w:rPr>
          <w:b/>
          <w:bCs/>
          <w:sz w:val="32"/>
          <w:szCs w:val="32"/>
        </w:rPr>
        <w:t>1</w:t>
      </w:r>
    </w:p>
    <w:p w14:paraId="0F0C3917" w14:textId="120EEAE2" w:rsidR="00805505" w:rsidRDefault="00805505" w:rsidP="00805505">
      <w:pPr>
        <w:spacing w:after="0" w:line="240" w:lineRule="auto"/>
        <w:jc w:val="center"/>
        <w:rPr>
          <w:b/>
          <w:bCs/>
          <w:sz w:val="18"/>
          <w:szCs w:val="18"/>
        </w:rPr>
      </w:pPr>
      <w:r w:rsidRPr="00B54EDB">
        <w:rPr>
          <w:b/>
          <w:bCs/>
          <w:sz w:val="18"/>
          <w:szCs w:val="18"/>
        </w:rPr>
        <w:t>(</w:t>
      </w:r>
      <w:r>
        <w:rPr>
          <w:b/>
          <w:bCs/>
          <w:sz w:val="18"/>
          <w:szCs w:val="18"/>
        </w:rPr>
        <w:t>01.02.2025</w:t>
      </w:r>
      <w:r w:rsidRPr="00B54EDB">
        <w:rPr>
          <w:b/>
          <w:bCs/>
          <w:sz w:val="18"/>
          <w:szCs w:val="18"/>
        </w:rPr>
        <w:t>)</w:t>
      </w:r>
    </w:p>
    <w:p w14:paraId="2029EAF7" w14:textId="77777777" w:rsidR="00A47488" w:rsidRDefault="00A47488" w:rsidP="00805505">
      <w:pPr>
        <w:spacing w:after="0" w:line="240" w:lineRule="auto"/>
        <w:jc w:val="center"/>
        <w:rPr>
          <w:b/>
          <w:bCs/>
          <w:sz w:val="18"/>
          <w:szCs w:val="18"/>
        </w:rPr>
      </w:pPr>
    </w:p>
    <w:p w14:paraId="62F6F235" w14:textId="77777777" w:rsidR="00805505" w:rsidRDefault="00805505" w:rsidP="00805505">
      <w:pPr>
        <w:spacing w:after="0" w:line="240" w:lineRule="auto"/>
        <w:jc w:val="center"/>
        <w:rPr>
          <w:b/>
          <w:bCs/>
          <w:sz w:val="18"/>
          <w:szCs w:val="18"/>
        </w:rPr>
      </w:pPr>
    </w:p>
    <w:p w14:paraId="3ED49BE3" w14:textId="004684EF" w:rsidR="00C23507" w:rsidRDefault="00805505" w:rsidP="00A416F6">
      <w:pPr>
        <w:jc w:val="both"/>
        <w:rPr>
          <w:b/>
          <w:bCs/>
          <w:sz w:val="26"/>
          <w:szCs w:val="26"/>
        </w:rPr>
      </w:pPr>
      <w:r w:rsidRPr="00805505">
        <w:rPr>
          <w:b/>
          <w:bCs/>
          <w:sz w:val="26"/>
          <w:szCs w:val="26"/>
        </w:rPr>
        <w:t>I- GELİR VERGİSİ KANUNU’NUN GEÇİCİ 67. MADDESİNDEKİ BAZI TEVKİFAT ORANLARINDA DEĞİŞİKLİK YAPILMIŞTIR</w:t>
      </w:r>
    </w:p>
    <w:p w14:paraId="44048B2F" w14:textId="7431F1C4" w:rsidR="00805505" w:rsidRDefault="00805505" w:rsidP="00B62104">
      <w:pPr>
        <w:jc w:val="both"/>
      </w:pPr>
      <w:r w:rsidRPr="00805505">
        <w:t xml:space="preserve">1 Şubat 2025 tarihli ve 32800 sayılı </w:t>
      </w:r>
      <w:proofErr w:type="gramStart"/>
      <w:r w:rsidRPr="00805505">
        <w:t>Resmi</w:t>
      </w:r>
      <w:proofErr w:type="gramEnd"/>
      <w:r w:rsidRPr="00805505">
        <w:t xml:space="preserve"> </w:t>
      </w:r>
      <w:proofErr w:type="spellStart"/>
      <w:r w:rsidRPr="00805505">
        <w:t>Gazete’de</w:t>
      </w:r>
      <w:proofErr w:type="spellEnd"/>
      <w:r w:rsidRPr="00805505">
        <w:t xml:space="preserve"> yayımlanan </w:t>
      </w:r>
      <w:r>
        <w:t>9487 sayılı Cumhurbaşkanı Kararı ile 1 Şubat 2025 tarihinden itibaren uygulanmak üzere Gelir Vergisi Kanunu’nun</w:t>
      </w:r>
      <w:r w:rsidR="00383AB3">
        <w:t xml:space="preserve"> (</w:t>
      </w:r>
      <w:proofErr w:type="spellStart"/>
      <w:r w:rsidR="00383AB3">
        <w:t>GVK’nın</w:t>
      </w:r>
      <w:proofErr w:type="spellEnd"/>
      <w:r w:rsidR="00383AB3">
        <w:t>)</w:t>
      </w:r>
      <w:r>
        <w:t xml:space="preserve"> geçic</w:t>
      </w:r>
      <w:r w:rsidR="00383AB3">
        <w:t>i</w:t>
      </w:r>
      <w:r>
        <w:t xml:space="preserve"> 67. maddesindeki tevkifat oranlarının belirlendiği 22.07.2006 tarihli ve 2006/10731 sayılı Bakanlar Kurulu Kararı’nda bazı değişiklikler yapılmıştır. Söz konusu değişiklikler aşağıdaki gibidir:</w:t>
      </w:r>
    </w:p>
    <w:p w14:paraId="221B5DC1" w14:textId="77777777" w:rsidR="00006B00" w:rsidRDefault="00006B00"/>
    <w:p w14:paraId="596F13AA" w14:textId="278D71FC" w:rsidR="00805505" w:rsidRDefault="00383AB3">
      <w:pPr>
        <w:rPr>
          <w:b/>
          <w:bCs/>
        </w:rPr>
      </w:pPr>
      <w:r w:rsidRPr="00383AB3">
        <w:rPr>
          <w:b/>
          <w:bCs/>
        </w:rPr>
        <w:t>A- 2006/10731 Sayılı Bakanlar Kurulu Kararı’nın 1/1-a Maddesi Değiştirilmiştir</w:t>
      </w:r>
      <w:r>
        <w:rPr>
          <w:b/>
          <w:bCs/>
        </w:rPr>
        <w:t>:</w:t>
      </w:r>
    </w:p>
    <w:p w14:paraId="457BD559" w14:textId="39F1CEAF" w:rsidR="00383AB3" w:rsidRDefault="00006B00" w:rsidP="00006B00">
      <w:pPr>
        <w:jc w:val="both"/>
      </w:pPr>
      <w:r>
        <w:t xml:space="preserve">9487 sayılı Cumhurbaşkanı Kararı’nın 1. maddesi ile </w:t>
      </w:r>
      <w:r w:rsidR="00383AB3" w:rsidRPr="00383AB3">
        <w:t>22/7/2006 tarihli ve 2006/10731 sayılı Bakanlar Kurulu Kararı</w:t>
      </w:r>
      <w:r>
        <w:t>’</w:t>
      </w:r>
      <w:r w:rsidR="00383AB3" w:rsidRPr="00383AB3">
        <w:t>nın</w:t>
      </w:r>
      <w:r>
        <w:t xml:space="preserve"> (</w:t>
      </w:r>
      <w:proofErr w:type="spellStart"/>
      <w:r>
        <w:t>BKK’nın</w:t>
      </w:r>
      <w:proofErr w:type="spellEnd"/>
      <w:r>
        <w:t>)</w:t>
      </w:r>
      <w:r w:rsidR="00383AB3" w:rsidRPr="00383AB3">
        <w:t xml:space="preserve"> eki Kararın 1</w:t>
      </w:r>
      <w:r>
        <w:t>’</w:t>
      </w:r>
      <w:r w:rsidR="00383AB3" w:rsidRPr="00383AB3">
        <w:t>inci maddesinin birinci fıkrasının (a) bendi aşağıdaki şekilde değiştirilmiştir</w:t>
      </w:r>
      <w:r>
        <w:t>:</w:t>
      </w:r>
    </w:p>
    <w:p w14:paraId="20DC5F48" w14:textId="4466F34F" w:rsidR="00A416F6" w:rsidRDefault="00006B00" w:rsidP="00006B00">
      <w:pPr>
        <w:shd w:val="clear" w:color="auto" w:fill="F2F2F2" w:themeFill="background1" w:themeFillShade="F2"/>
        <w:jc w:val="both"/>
        <w:rPr>
          <w:i/>
          <w:iCs/>
          <w:sz w:val="20"/>
          <w:szCs w:val="20"/>
        </w:rPr>
      </w:pPr>
      <w:r w:rsidRPr="00006B00">
        <w:rPr>
          <w:i/>
          <w:iCs/>
          <w:sz w:val="20"/>
          <w:szCs w:val="20"/>
        </w:rPr>
        <w:t>“</w:t>
      </w:r>
      <w:r w:rsidR="00A416F6">
        <w:rPr>
          <w:i/>
          <w:iCs/>
          <w:sz w:val="20"/>
          <w:szCs w:val="20"/>
        </w:rPr>
        <w:t>1) (1), (2) ve (3) numaralı fıkralarda yer alan oran</w:t>
      </w:r>
    </w:p>
    <w:p w14:paraId="0B8F9F35" w14:textId="2E237215" w:rsidR="00383AB3" w:rsidRPr="00383AB3" w:rsidRDefault="00383AB3" w:rsidP="00006B00">
      <w:pPr>
        <w:shd w:val="clear" w:color="auto" w:fill="F2F2F2" w:themeFill="background1" w:themeFillShade="F2"/>
        <w:jc w:val="both"/>
        <w:rPr>
          <w:i/>
          <w:iCs/>
          <w:sz w:val="20"/>
          <w:szCs w:val="20"/>
        </w:rPr>
      </w:pPr>
      <w:r w:rsidRPr="00383AB3">
        <w:rPr>
          <w:i/>
          <w:iCs/>
          <w:sz w:val="20"/>
          <w:szCs w:val="20"/>
        </w:rPr>
        <w:t>i) Paylara ve pay endekslerine dayalı olarak yapılan vadeli işlem ve opsiyon sözleşmeleri ile Borsa İstanbul’da işlem gören aracı kuruluş varantları dâhil olmak üzere paylardan (menkul kıymetler yatırım ortaklıkları hisse senetleri hariç) elde edilen kazançlar için %0,</w:t>
      </w:r>
    </w:p>
    <w:p w14:paraId="1FDB6BEE" w14:textId="07A1DC45" w:rsidR="00383AB3" w:rsidRPr="00383AB3" w:rsidRDefault="00383AB3" w:rsidP="00006B00">
      <w:pPr>
        <w:shd w:val="clear" w:color="auto" w:fill="F2F2F2" w:themeFill="background1" w:themeFillShade="F2"/>
        <w:jc w:val="both"/>
        <w:rPr>
          <w:i/>
          <w:iCs/>
          <w:sz w:val="20"/>
          <w:szCs w:val="20"/>
        </w:rPr>
      </w:pPr>
      <w:r w:rsidRPr="00383AB3">
        <w:rPr>
          <w:i/>
          <w:iCs/>
          <w:sz w:val="20"/>
          <w:szCs w:val="20"/>
        </w:rPr>
        <w:t xml:space="preserve">ii) Hisse senedi yoğun fonların katılma paylarından, iki yıldan fazla süreyle elde tutulan girişim sermayesi yatırım fonu ve gayrimenkul yatırım fonu katılma paylarından elde edilen kazançlar için %0, diğer yatırım fonu katılma </w:t>
      </w:r>
      <w:proofErr w:type="gramStart"/>
      <w:r w:rsidRPr="00383AB3">
        <w:rPr>
          <w:i/>
          <w:iCs/>
          <w:sz w:val="20"/>
          <w:szCs w:val="20"/>
        </w:rPr>
        <w:t>paylarından</w:t>
      </w:r>
      <w:proofErr w:type="gramEnd"/>
      <w:r w:rsidRPr="00383AB3">
        <w:rPr>
          <w:i/>
          <w:iCs/>
          <w:sz w:val="20"/>
          <w:szCs w:val="20"/>
        </w:rPr>
        <w:t xml:space="preserve"> elde edilen kazançlar için %15,</w:t>
      </w:r>
    </w:p>
    <w:p w14:paraId="3FC83B5D" w14:textId="678BF0D8" w:rsidR="00383AB3" w:rsidRPr="00383AB3" w:rsidRDefault="00383AB3" w:rsidP="00006B00">
      <w:pPr>
        <w:shd w:val="clear" w:color="auto" w:fill="F2F2F2" w:themeFill="background1" w:themeFillShade="F2"/>
        <w:jc w:val="both"/>
        <w:rPr>
          <w:i/>
          <w:iCs/>
          <w:sz w:val="20"/>
          <w:szCs w:val="20"/>
        </w:rPr>
      </w:pPr>
      <w:r w:rsidRPr="00383AB3">
        <w:rPr>
          <w:i/>
          <w:iCs/>
          <w:sz w:val="20"/>
          <w:szCs w:val="20"/>
        </w:rPr>
        <w:t>iii) Hazine ve Maliye Bakanlığınca ihraç edilen altına dayalı devlet iç borçlanma senetlerinden, Darphane sertifikalarından ve </w:t>
      </w:r>
      <w:hyperlink r:id="rId6" w:history="1">
        <w:r w:rsidRPr="00383AB3">
          <w:rPr>
            <w:rStyle w:val="Kpr"/>
            <w:i/>
            <w:iCs/>
            <w:color w:val="auto"/>
            <w:sz w:val="20"/>
            <w:szCs w:val="20"/>
            <w:u w:val="none"/>
          </w:rPr>
          <w:t>4749 sayılı Kamu Finansmanı ve Borç Yönetiminin Düzenlenmesi Hakkında Kanun</w:t>
        </w:r>
      </w:hyperlink>
      <w:r w:rsidRPr="00383AB3">
        <w:rPr>
          <w:i/>
          <w:iCs/>
          <w:sz w:val="20"/>
          <w:szCs w:val="20"/>
        </w:rPr>
        <w:t> uyarınca kurulan varlık kiralama şirketleri tarafından ihraç edilen altına dayalı kira sertifikalarından elde edilen kazançlar için %0,</w:t>
      </w:r>
    </w:p>
    <w:p w14:paraId="7F9A3792" w14:textId="23A0FFE3" w:rsidR="00383AB3" w:rsidRPr="00383AB3" w:rsidRDefault="00383AB3" w:rsidP="00006B00">
      <w:pPr>
        <w:shd w:val="clear" w:color="auto" w:fill="F2F2F2" w:themeFill="background1" w:themeFillShade="F2"/>
        <w:jc w:val="both"/>
        <w:rPr>
          <w:i/>
          <w:iCs/>
          <w:sz w:val="20"/>
          <w:szCs w:val="20"/>
        </w:rPr>
      </w:pPr>
      <w:r w:rsidRPr="00383AB3">
        <w:rPr>
          <w:i/>
          <w:iCs/>
          <w:sz w:val="20"/>
          <w:szCs w:val="20"/>
        </w:rPr>
        <w:t>iv) </w:t>
      </w:r>
      <w:hyperlink r:id="rId7" w:history="1">
        <w:r w:rsidRPr="00383AB3">
          <w:rPr>
            <w:rStyle w:val="Kpr"/>
            <w:i/>
            <w:iCs/>
            <w:color w:val="auto"/>
            <w:sz w:val="20"/>
            <w:szCs w:val="20"/>
            <w:u w:val="none"/>
          </w:rPr>
          <w:t>6362 sayılı Sermaye Piyasası Kanununa</w:t>
        </w:r>
      </w:hyperlink>
      <w:r w:rsidRPr="00383AB3">
        <w:rPr>
          <w:i/>
          <w:iCs/>
          <w:sz w:val="20"/>
          <w:szCs w:val="20"/>
        </w:rPr>
        <w:t xml:space="preserve"> göre Sermaye Piyasası Kurulunca onaylanmış finansman bonolarından ve varlık kiralama şirketleri tarafından ihraç edilen bir yıldan </w:t>
      </w:r>
      <w:r w:rsidR="00A416F6">
        <w:rPr>
          <w:i/>
          <w:iCs/>
          <w:sz w:val="20"/>
          <w:szCs w:val="20"/>
        </w:rPr>
        <w:t>kısa</w:t>
      </w:r>
      <w:r w:rsidRPr="00383AB3">
        <w:rPr>
          <w:i/>
          <w:iCs/>
          <w:sz w:val="20"/>
          <w:szCs w:val="20"/>
        </w:rPr>
        <w:t xml:space="preserve"> vadeli kira sertifikalarından sağlanan gelirler ile bunların elden çıkarılmasından doğan kazançlar için %15.”</w:t>
      </w:r>
    </w:p>
    <w:p w14:paraId="67F3BB62" w14:textId="3288AB0B" w:rsidR="00006B00" w:rsidRPr="00383AB3" w:rsidRDefault="00006B00" w:rsidP="00006B00">
      <w:pPr>
        <w:shd w:val="clear" w:color="auto" w:fill="FFFFFF" w:themeFill="background1"/>
        <w:jc w:val="both"/>
        <w:rPr>
          <w:i/>
          <w:iCs/>
        </w:rPr>
      </w:pPr>
      <w:r>
        <w:t xml:space="preserve">Değişiklik öncesinde 2006/13731 sayılı BKK uyarınca vergi </w:t>
      </w:r>
      <w:proofErr w:type="spellStart"/>
      <w:r>
        <w:t>tevkifatına</w:t>
      </w:r>
      <w:proofErr w:type="spellEnd"/>
      <w:r>
        <w:t xml:space="preserve"> tabi tutulacak unsurlar </w:t>
      </w:r>
      <w:r w:rsidR="00AA39D4">
        <w:t>sayılırken, yukarıdaki bentler tek fıkrada değerlendirilmiş; diğer yatırım fon</w:t>
      </w:r>
      <w:r w:rsidR="00FB4CEE">
        <w:t>u katılma payları</w:t>
      </w:r>
      <w:r w:rsidR="00AA39D4">
        <w:t xml:space="preserve"> </w:t>
      </w:r>
      <w:r w:rsidR="00FB4CEE">
        <w:t xml:space="preserve">ayrı bentte </w:t>
      </w:r>
      <w:r w:rsidR="00AA39D4">
        <w:t xml:space="preserve">belirtilmiş ve %10 vergi </w:t>
      </w:r>
      <w:proofErr w:type="spellStart"/>
      <w:r w:rsidR="00AA39D4">
        <w:t>tevkifatına</w:t>
      </w:r>
      <w:proofErr w:type="spellEnd"/>
      <w:r w:rsidR="00AA39D4">
        <w:t xml:space="preserve"> tabi tutulmuştu.</w:t>
      </w:r>
      <w:r>
        <w:t xml:space="preserve"> </w:t>
      </w:r>
    </w:p>
    <w:p w14:paraId="17A177DE" w14:textId="152F4C1B" w:rsidR="00AA39D4" w:rsidRDefault="00AA39D4" w:rsidP="00AA39D4">
      <w:pPr>
        <w:rPr>
          <w:b/>
          <w:bCs/>
        </w:rPr>
      </w:pPr>
      <w:r w:rsidRPr="00AA39D4">
        <w:rPr>
          <w:b/>
          <w:bCs/>
        </w:rPr>
        <w:t>B-</w:t>
      </w:r>
      <w:r w:rsidRPr="00383AB3">
        <w:rPr>
          <w:b/>
          <w:bCs/>
        </w:rPr>
        <w:t xml:space="preserve"> 2006/10731 Sayılı Bakanlar Kurulu Kararı’nın 1/1-</w:t>
      </w:r>
      <w:r>
        <w:rPr>
          <w:b/>
          <w:bCs/>
        </w:rPr>
        <w:t>ç</w:t>
      </w:r>
      <w:r w:rsidRPr="00383AB3">
        <w:rPr>
          <w:b/>
          <w:bCs/>
        </w:rPr>
        <w:t xml:space="preserve"> Maddesi Değiştirilmiştir</w:t>
      </w:r>
      <w:r>
        <w:rPr>
          <w:b/>
          <w:bCs/>
        </w:rPr>
        <w:t>:</w:t>
      </w:r>
    </w:p>
    <w:p w14:paraId="28804A94" w14:textId="0D5B322A" w:rsidR="00AA39D4" w:rsidRDefault="00AA39D4" w:rsidP="00AA39D4">
      <w:pPr>
        <w:jc w:val="both"/>
      </w:pPr>
      <w:r>
        <w:t xml:space="preserve">9487 sayılı Cumhurbaşkanı Kararı’nın 2. maddesi ile </w:t>
      </w:r>
      <w:r w:rsidRPr="00383AB3">
        <w:t>22/7/2006 tarihli ve 2006/10731 sayılı Bakanlar Kurulu Kararı</w:t>
      </w:r>
      <w:r>
        <w:t>’</w:t>
      </w:r>
      <w:r w:rsidRPr="00383AB3">
        <w:t>nın</w:t>
      </w:r>
      <w:r>
        <w:t xml:space="preserve"> (</w:t>
      </w:r>
      <w:proofErr w:type="spellStart"/>
      <w:r>
        <w:t>BKK’nın</w:t>
      </w:r>
      <w:proofErr w:type="spellEnd"/>
      <w:r>
        <w:t>)</w:t>
      </w:r>
      <w:r w:rsidRPr="00383AB3">
        <w:t xml:space="preserve"> eki Kararın 1</w:t>
      </w:r>
      <w:r>
        <w:t>’</w:t>
      </w:r>
      <w:r w:rsidRPr="00383AB3">
        <w:t>inci maddesinin birinci fıkrasının (</w:t>
      </w:r>
      <w:r>
        <w:t>ç</w:t>
      </w:r>
      <w:r w:rsidRPr="00383AB3">
        <w:t>) bendi aşağıdaki şekilde değiştirilmiştir</w:t>
      </w:r>
      <w:r>
        <w:t>:</w:t>
      </w:r>
    </w:p>
    <w:p w14:paraId="4832036C" w14:textId="77777777" w:rsidR="00AA39D4" w:rsidRPr="00AA39D4" w:rsidRDefault="00AA39D4" w:rsidP="00AA39D4">
      <w:pPr>
        <w:shd w:val="clear" w:color="auto" w:fill="F2F2F2" w:themeFill="background1" w:themeFillShade="F2"/>
        <w:rPr>
          <w:i/>
          <w:iCs/>
          <w:sz w:val="20"/>
          <w:szCs w:val="20"/>
        </w:rPr>
      </w:pPr>
      <w:r w:rsidRPr="00AA39D4">
        <w:rPr>
          <w:i/>
          <w:iCs/>
          <w:sz w:val="20"/>
          <w:szCs w:val="20"/>
        </w:rPr>
        <w:t>“</w:t>
      </w:r>
      <w:proofErr w:type="gramStart"/>
      <w:r w:rsidRPr="00AA39D4">
        <w:rPr>
          <w:i/>
          <w:iCs/>
          <w:sz w:val="20"/>
          <w:szCs w:val="20"/>
        </w:rPr>
        <w:t>ç</w:t>
      </w:r>
      <w:proofErr w:type="gramEnd"/>
      <w:r w:rsidRPr="00AA39D4">
        <w:rPr>
          <w:i/>
          <w:iCs/>
          <w:sz w:val="20"/>
          <w:szCs w:val="20"/>
        </w:rPr>
        <w:t>) (11) numaralı fıkrada yer alan oran;</w:t>
      </w:r>
    </w:p>
    <w:p w14:paraId="41BA2D7C" w14:textId="3E2FB8AD" w:rsidR="00AA39D4" w:rsidRPr="00AA39D4" w:rsidRDefault="00AA39D4" w:rsidP="00AA39D4">
      <w:pPr>
        <w:shd w:val="clear" w:color="auto" w:fill="F2F2F2" w:themeFill="background1" w:themeFillShade="F2"/>
        <w:rPr>
          <w:i/>
          <w:iCs/>
          <w:sz w:val="20"/>
          <w:szCs w:val="20"/>
        </w:rPr>
      </w:pPr>
      <w:r w:rsidRPr="00AA39D4">
        <w:rPr>
          <w:i/>
          <w:iCs/>
          <w:sz w:val="20"/>
          <w:szCs w:val="20"/>
        </w:rPr>
        <w:t>i) Paylara ve pay endekslerine dayalı olarak yapılan vadeli işlem ve opsiyon sözleşmeleri ile Borsa İstanbul’da işlem gören aracı kuruluş varantları dâhil olmak üzere paylardan (menkul kıymetler yatırım ortaklıkları hisse senetleri hariç) elde edilen kazançlar için %0,</w:t>
      </w:r>
    </w:p>
    <w:p w14:paraId="1E6FD36D" w14:textId="785A0949" w:rsidR="00AA39D4" w:rsidRPr="00AA39D4" w:rsidRDefault="00AA39D4" w:rsidP="00AA39D4">
      <w:pPr>
        <w:shd w:val="clear" w:color="auto" w:fill="F2F2F2" w:themeFill="background1" w:themeFillShade="F2"/>
        <w:rPr>
          <w:i/>
          <w:iCs/>
          <w:sz w:val="20"/>
          <w:szCs w:val="20"/>
        </w:rPr>
      </w:pPr>
      <w:r w:rsidRPr="00AA39D4">
        <w:rPr>
          <w:i/>
          <w:iCs/>
          <w:sz w:val="20"/>
          <w:szCs w:val="20"/>
        </w:rPr>
        <w:lastRenderedPageBreak/>
        <w:t>ii) Hisse senedi yoğun fonların katılma paylarından, iki yıldan fazla süreyle elde tutulan girişim sermayesi yatırım fonu ve gayrimenkul yatırım fonu katılma paylarından elde edilen kazançlar için %0, diğer yatırım fonu katılma paylarından elde edilen kazançlar için %15,</w:t>
      </w:r>
    </w:p>
    <w:p w14:paraId="2CE460D6" w14:textId="3123271D" w:rsidR="00AA39D4" w:rsidRPr="00AA39D4" w:rsidRDefault="00AA39D4" w:rsidP="00AA39D4">
      <w:pPr>
        <w:shd w:val="clear" w:color="auto" w:fill="F2F2F2" w:themeFill="background1" w:themeFillShade="F2"/>
        <w:rPr>
          <w:i/>
          <w:iCs/>
          <w:sz w:val="20"/>
          <w:szCs w:val="20"/>
        </w:rPr>
      </w:pPr>
      <w:r w:rsidRPr="00AA39D4">
        <w:rPr>
          <w:i/>
          <w:iCs/>
          <w:sz w:val="20"/>
          <w:szCs w:val="20"/>
        </w:rPr>
        <w:t>ii) Hazine ve Maliye Bakanlığı</w:t>
      </w:r>
      <w:r w:rsidR="0047637B">
        <w:rPr>
          <w:i/>
          <w:iCs/>
          <w:sz w:val="20"/>
          <w:szCs w:val="20"/>
        </w:rPr>
        <w:t>’</w:t>
      </w:r>
      <w:r w:rsidRPr="00AA39D4">
        <w:rPr>
          <w:i/>
          <w:iCs/>
          <w:sz w:val="20"/>
          <w:szCs w:val="20"/>
        </w:rPr>
        <w:t>nca ihraç edilen altına dayalı devlet iç borçlanma senetlerinden, Darphane sertifikalarından ve 4749 sayılı Kanun uyarınca kurulan varlık kiralama şirketleri tarafından ihraç edilen altına dayalı kira sertifikalarından elde edilen kazançlar için %0,</w:t>
      </w:r>
    </w:p>
    <w:p w14:paraId="5063B2DB" w14:textId="2CA04519" w:rsidR="00AA39D4" w:rsidRPr="00AA39D4" w:rsidRDefault="00AA39D4" w:rsidP="00AA39D4">
      <w:pPr>
        <w:shd w:val="clear" w:color="auto" w:fill="F2F2F2" w:themeFill="background1" w:themeFillShade="F2"/>
        <w:rPr>
          <w:i/>
          <w:iCs/>
          <w:sz w:val="20"/>
          <w:szCs w:val="20"/>
        </w:rPr>
      </w:pPr>
      <w:r w:rsidRPr="00AA39D4">
        <w:rPr>
          <w:i/>
          <w:iCs/>
          <w:sz w:val="20"/>
          <w:szCs w:val="20"/>
        </w:rPr>
        <w:t>iv) 6362 sayılı Kanuna göre Sermaye Piyasası Kurulu</w:t>
      </w:r>
      <w:r w:rsidR="0047637B">
        <w:rPr>
          <w:i/>
          <w:iCs/>
          <w:sz w:val="20"/>
          <w:szCs w:val="20"/>
        </w:rPr>
        <w:t>’</w:t>
      </w:r>
      <w:r w:rsidRPr="00AA39D4">
        <w:rPr>
          <w:i/>
          <w:iCs/>
          <w:sz w:val="20"/>
          <w:szCs w:val="20"/>
        </w:rPr>
        <w:t>nca onaylanmış finansman bonolarından ve varlık kiralama şirketleri tarafından ihraç edilen bir yıldan</w:t>
      </w:r>
      <w:r w:rsidR="0047637B">
        <w:rPr>
          <w:i/>
          <w:iCs/>
          <w:sz w:val="20"/>
          <w:szCs w:val="20"/>
        </w:rPr>
        <w:t xml:space="preserve"> kısa</w:t>
      </w:r>
      <w:r w:rsidRPr="00AA39D4">
        <w:rPr>
          <w:i/>
          <w:iCs/>
          <w:sz w:val="20"/>
          <w:szCs w:val="20"/>
        </w:rPr>
        <w:t xml:space="preserve"> vadeli kira sertifikalarından sağlanan gelirler ile bunların elden çıkarılmasından doğan kazançlar için %15,</w:t>
      </w:r>
    </w:p>
    <w:p w14:paraId="1BD14F7B" w14:textId="1B87A773" w:rsidR="00AA39D4" w:rsidRPr="00AA39D4" w:rsidRDefault="00AA39D4" w:rsidP="00AA39D4">
      <w:pPr>
        <w:shd w:val="clear" w:color="auto" w:fill="F2F2F2" w:themeFill="background1" w:themeFillShade="F2"/>
        <w:rPr>
          <w:i/>
          <w:iCs/>
          <w:sz w:val="20"/>
          <w:szCs w:val="20"/>
        </w:rPr>
      </w:pPr>
      <w:r w:rsidRPr="00AA39D4">
        <w:rPr>
          <w:i/>
          <w:iCs/>
          <w:sz w:val="20"/>
          <w:szCs w:val="20"/>
        </w:rPr>
        <w:t>v) Diğer kazançlar için %10.”</w:t>
      </w:r>
    </w:p>
    <w:p w14:paraId="4D82559A" w14:textId="27695430" w:rsidR="0047637B" w:rsidRDefault="0047637B" w:rsidP="004C1BA1">
      <w:pPr>
        <w:jc w:val="both"/>
      </w:pPr>
      <w:r>
        <w:t xml:space="preserve">Değişiklik öncesinde 2006/13731 sayılı BKK uyarınca vergi </w:t>
      </w:r>
      <w:proofErr w:type="spellStart"/>
      <w:r>
        <w:t>tevkifatına</w:t>
      </w:r>
      <w:proofErr w:type="spellEnd"/>
      <w:r>
        <w:t xml:space="preserve"> tabi tutulacak unsurlar sayılırken, yukarıdaki bentler tek fıkrada değerlendirilmişti.</w:t>
      </w:r>
    </w:p>
    <w:p w14:paraId="200DF46C" w14:textId="0117985D" w:rsidR="0047637B" w:rsidRDefault="0047637B" w:rsidP="0047637B">
      <w:pPr>
        <w:rPr>
          <w:b/>
          <w:bCs/>
        </w:rPr>
      </w:pPr>
      <w:r>
        <w:rPr>
          <w:b/>
          <w:bCs/>
        </w:rPr>
        <w:t>C</w:t>
      </w:r>
      <w:r w:rsidRPr="00AA39D4">
        <w:rPr>
          <w:b/>
          <w:bCs/>
        </w:rPr>
        <w:t>-</w:t>
      </w:r>
      <w:r w:rsidRPr="00383AB3">
        <w:rPr>
          <w:b/>
          <w:bCs/>
        </w:rPr>
        <w:t xml:space="preserve"> 2006/10731 Sayılı Bakanlar Kurulu Kararı’nın 1/1-</w:t>
      </w:r>
      <w:r>
        <w:rPr>
          <w:b/>
          <w:bCs/>
        </w:rPr>
        <w:t>d</w:t>
      </w:r>
      <w:r w:rsidRPr="00383AB3">
        <w:rPr>
          <w:b/>
          <w:bCs/>
        </w:rPr>
        <w:t xml:space="preserve"> Maddesi Değiştirilmiştir</w:t>
      </w:r>
      <w:r>
        <w:rPr>
          <w:b/>
          <w:bCs/>
        </w:rPr>
        <w:t>:</w:t>
      </w:r>
    </w:p>
    <w:p w14:paraId="0ED87D53" w14:textId="2A06C417" w:rsidR="00AA39D4" w:rsidRDefault="0047637B" w:rsidP="0047637B">
      <w:pPr>
        <w:jc w:val="both"/>
      </w:pPr>
      <w:r>
        <w:t xml:space="preserve">9487 sayılı Cumhurbaşkanı Kararı’nın 3. maddesi ile </w:t>
      </w:r>
      <w:r w:rsidRPr="00383AB3">
        <w:t>22/7/2006 tarihli ve 2006/10731 sayılı Bakanlar Kurulu Kararı</w:t>
      </w:r>
      <w:r>
        <w:t>’</w:t>
      </w:r>
      <w:r w:rsidRPr="00383AB3">
        <w:t>nın</w:t>
      </w:r>
      <w:r>
        <w:t xml:space="preserve"> (</w:t>
      </w:r>
      <w:proofErr w:type="spellStart"/>
      <w:r>
        <w:t>BKK’nın</w:t>
      </w:r>
      <w:proofErr w:type="spellEnd"/>
      <w:r>
        <w:t>)</w:t>
      </w:r>
      <w:r w:rsidRPr="00383AB3">
        <w:t xml:space="preserve"> eki Kararın 1</w:t>
      </w:r>
      <w:r>
        <w:t>’</w:t>
      </w:r>
      <w:r w:rsidRPr="00383AB3">
        <w:t>inci maddesinin birinci fıkrasının (</w:t>
      </w:r>
      <w:r>
        <w:t>d</w:t>
      </w:r>
      <w:r w:rsidRPr="00383AB3">
        <w:t>) bendi</w:t>
      </w:r>
      <w:r>
        <w:t>nde</w:t>
      </w:r>
      <w:r w:rsidRPr="00383AB3">
        <w:t xml:space="preserve"> aşağıdaki </w:t>
      </w:r>
      <w:r>
        <w:t>değişiklikler yapılmıştır:</w:t>
      </w:r>
    </w:p>
    <w:p w14:paraId="00F5532D" w14:textId="77777777" w:rsidR="0047637B" w:rsidRPr="0047637B" w:rsidRDefault="0047637B" w:rsidP="00E35DEA">
      <w:pPr>
        <w:jc w:val="both"/>
      </w:pPr>
      <w:r>
        <w:t>“</w:t>
      </w:r>
      <w:proofErr w:type="gramStart"/>
      <w:r w:rsidRPr="0047637B">
        <w:t>a</w:t>
      </w:r>
      <w:proofErr w:type="gramEnd"/>
      <w:r w:rsidRPr="0047637B">
        <w:t>) (2) numaralı alt bendinin (v) sırası ile (3) numaralı alt bendinin (iv) sırasında yer alan “% 10” ibareleri “% 15”, “% 7,5” ibareleri “% 12”, “% 5” ibareleri “% 10” şeklinde,</w:t>
      </w:r>
    </w:p>
    <w:p w14:paraId="33077C50" w14:textId="77777777" w:rsidR="0047637B" w:rsidRDefault="0047637B" w:rsidP="00E35DEA">
      <w:pPr>
        <w:jc w:val="both"/>
      </w:pPr>
      <w:r w:rsidRPr="0047637B">
        <w:t>b) (2) numaralı alt bendinin (vi) sırası ile (3) numaralı alt bendinin (v) sırasında yer alan “</w:t>
      </w:r>
      <w:proofErr w:type="gramStart"/>
      <w:r w:rsidRPr="0047637B">
        <w:t>% 10</w:t>
      </w:r>
      <w:proofErr w:type="gramEnd"/>
      <w:r w:rsidRPr="0047637B">
        <w:t>” ibareleri “% 15”, “% 7,5” ibareleri “% 12” şeklinde,</w:t>
      </w:r>
    </w:p>
    <w:p w14:paraId="5E849108" w14:textId="4138CABD" w:rsidR="0047637B" w:rsidRDefault="0047637B" w:rsidP="0047637B">
      <w:pPr>
        <w:jc w:val="both"/>
      </w:pPr>
      <w:proofErr w:type="gramStart"/>
      <w:r w:rsidRPr="0047637B">
        <w:t>değiştirilmiştir</w:t>
      </w:r>
      <w:proofErr w:type="gramEnd"/>
      <w:r w:rsidRPr="0047637B">
        <w:t>.</w:t>
      </w:r>
      <w:r>
        <w:t>”</w:t>
      </w:r>
    </w:p>
    <w:p w14:paraId="6CA7D977" w14:textId="5D9FAE75" w:rsidR="0047637B" w:rsidRDefault="0047637B" w:rsidP="0047637B">
      <w:pPr>
        <w:jc w:val="both"/>
      </w:pPr>
      <w:r>
        <w:t xml:space="preserve">Bu değişiklikle 2006/10731 sayılı </w:t>
      </w:r>
      <w:proofErr w:type="spellStart"/>
      <w:r>
        <w:t>BKK’nın</w:t>
      </w:r>
      <w:proofErr w:type="spellEnd"/>
      <w:r>
        <w:t xml:space="preserve"> 1/1-d maddesinin son hali aşağıdaki gibi olmuştur:</w:t>
      </w:r>
    </w:p>
    <w:p w14:paraId="1FEC6BA3" w14:textId="1E67C934" w:rsidR="0047637B" w:rsidRPr="0047637B" w:rsidRDefault="0047637B" w:rsidP="005442E0">
      <w:pPr>
        <w:shd w:val="clear" w:color="auto" w:fill="F2F2F2" w:themeFill="background1" w:themeFillShade="F2"/>
        <w:rPr>
          <w:i/>
          <w:iCs/>
          <w:sz w:val="20"/>
          <w:szCs w:val="20"/>
        </w:rPr>
      </w:pPr>
      <w:r w:rsidRPr="0047637B">
        <w:rPr>
          <w:i/>
          <w:iCs/>
          <w:sz w:val="20"/>
          <w:szCs w:val="20"/>
        </w:rPr>
        <w:t>“</w:t>
      </w:r>
      <w:proofErr w:type="gramStart"/>
      <w:r w:rsidRPr="0047637B">
        <w:rPr>
          <w:i/>
          <w:iCs/>
          <w:sz w:val="20"/>
          <w:szCs w:val="20"/>
        </w:rPr>
        <w:t>d</w:t>
      </w:r>
      <w:proofErr w:type="gramEnd"/>
      <w:r w:rsidRPr="0047637B">
        <w:rPr>
          <w:i/>
          <w:iCs/>
          <w:sz w:val="20"/>
          <w:szCs w:val="20"/>
        </w:rPr>
        <w:t>) Bankalar arası mevduat ile aracı kurumların borsa para piyasasında değerlendirdikleri kendilerine ait paralarına yürütülen faizler hariç olmak üzere, Gelir Vergisi Kanunu</w:t>
      </w:r>
      <w:r w:rsidR="00DA7EA6">
        <w:rPr>
          <w:i/>
          <w:iCs/>
          <w:sz w:val="20"/>
          <w:szCs w:val="20"/>
        </w:rPr>
        <w:t>’</w:t>
      </w:r>
      <w:r w:rsidRPr="0047637B">
        <w:rPr>
          <w:i/>
          <w:iCs/>
          <w:sz w:val="20"/>
          <w:szCs w:val="20"/>
        </w:rPr>
        <w:t>nun 75</w:t>
      </w:r>
      <w:r w:rsidR="00DA7EA6">
        <w:rPr>
          <w:i/>
          <w:iCs/>
          <w:sz w:val="20"/>
          <w:szCs w:val="20"/>
        </w:rPr>
        <w:t>’</w:t>
      </w:r>
      <w:r w:rsidRPr="0047637B">
        <w:rPr>
          <w:i/>
          <w:iCs/>
          <w:sz w:val="20"/>
          <w:szCs w:val="20"/>
        </w:rPr>
        <w:t xml:space="preserve">inci maddesinin ikinci fıkrasının (7) ve (12) numaralı bentlerinde yazılı menkul sermaye iratlarından, </w:t>
      </w:r>
    </w:p>
    <w:p w14:paraId="4BEA0EFA" w14:textId="71620170" w:rsidR="0047637B" w:rsidRPr="0047637B" w:rsidRDefault="0047637B" w:rsidP="005442E0">
      <w:pPr>
        <w:shd w:val="clear" w:color="auto" w:fill="F2F2F2" w:themeFill="background1" w:themeFillShade="F2"/>
        <w:jc w:val="both"/>
        <w:rPr>
          <w:i/>
          <w:iCs/>
          <w:sz w:val="20"/>
          <w:szCs w:val="20"/>
        </w:rPr>
      </w:pPr>
      <w:r w:rsidRPr="0047637B">
        <w:rPr>
          <w:i/>
          <w:iCs/>
          <w:sz w:val="20"/>
          <w:szCs w:val="20"/>
        </w:rPr>
        <w:t>1) Döviz tevdiat hesaplarına yürütülen faizlerden ve katılım bankalarınca döviz katılma hesaplarına ödenen kar paylarından; vadesiz, ihbarlı ve özel cari hesaplar ile vadeli hesaplarda %25, </w:t>
      </w:r>
    </w:p>
    <w:p w14:paraId="6D4D6096" w14:textId="77777777" w:rsidR="0047637B" w:rsidRPr="0047637B" w:rsidRDefault="0047637B" w:rsidP="005442E0">
      <w:pPr>
        <w:shd w:val="clear" w:color="auto" w:fill="F2F2F2" w:themeFill="background1" w:themeFillShade="F2"/>
        <w:jc w:val="both"/>
        <w:rPr>
          <w:i/>
          <w:iCs/>
          <w:sz w:val="20"/>
          <w:szCs w:val="20"/>
        </w:rPr>
      </w:pPr>
      <w:r w:rsidRPr="0047637B">
        <w:rPr>
          <w:i/>
          <w:iCs/>
          <w:sz w:val="20"/>
          <w:szCs w:val="20"/>
        </w:rPr>
        <w:t>2) Mevduat faizlerinden;</w:t>
      </w:r>
    </w:p>
    <w:p w14:paraId="4C7F5D8B" w14:textId="77777777" w:rsidR="0047637B" w:rsidRPr="0047637B" w:rsidRDefault="0047637B" w:rsidP="005442E0">
      <w:pPr>
        <w:shd w:val="clear" w:color="auto" w:fill="F2F2F2" w:themeFill="background1" w:themeFillShade="F2"/>
        <w:jc w:val="both"/>
        <w:rPr>
          <w:i/>
          <w:iCs/>
          <w:sz w:val="20"/>
          <w:szCs w:val="20"/>
        </w:rPr>
      </w:pPr>
      <w:r w:rsidRPr="0047637B">
        <w:rPr>
          <w:i/>
          <w:iCs/>
          <w:sz w:val="20"/>
          <w:szCs w:val="20"/>
        </w:rPr>
        <w:t>          i) Vadesiz ve ihbarlı hesaplar ile 6 aya kadar (6 ay dâhil) vadeli hesaplarda %15,</w:t>
      </w:r>
    </w:p>
    <w:p w14:paraId="4D346B7F" w14:textId="77777777" w:rsidR="0047637B" w:rsidRPr="0047637B" w:rsidRDefault="0047637B" w:rsidP="005442E0">
      <w:pPr>
        <w:shd w:val="clear" w:color="auto" w:fill="F2F2F2" w:themeFill="background1" w:themeFillShade="F2"/>
        <w:jc w:val="both"/>
        <w:rPr>
          <w:i/>
          <w:iCs/>
          <w:sz w:val="20"/>
          <w:szCs w:val="20"/>
        </w:rPr>
      </w:pPr>
      <w:r w:rsidRPr="0047637B">
        <w:rPr>
          <w:i/>
          <w:iCs/>
          <w:sz w:val="20"/>
          <w:szCs w:val="20"/>
        </w:rPr>
        <w:t>          ii) 1 yıla kadar (1 yıl dâhil) vadeli hesaplarda %12,</w:t>
      </w:r>
    </w:p>
    <w:p w14:paraId="6F0CC458" w14:textId="47411B58" w:rsidR="0047637B" w:rsidRPr="0047637B" w:rsidRDefault="0047637B" w:rsidP="005442E0">
      <w:pPr>
        <w:shd w:val="clear" w:color="auto" w:fill="F2F2F2" w:themeFill="background1" w:themeFillShade="F2"/>
        <w:jc w:val="both"/>
        <w:rPr>
          <w:i/>
          <w:iCs/>
          <w:sz w:val="20"/>
          <w:szCs w:val="20"/>
        </w:rPr>
      </w:pPr>
      <w:r w:rsidRPr="0047637B">
        <w:rPr>
          <w:i/>
          <w:iCs/>
          <w:sz w:val="20"/>
          <w:szCs w:val="20"/>
        </w:rPr>
        <w:t xml:space="preserve">          iii)1 yıldan uzun vadeli hesaplarda %10, </w:t>
      </w:r>
    </w:p>
    <w:p w14:paraId="57D562AC" w14:textId="0E9E82C5" w:rsidR="0047637B" w:rsidRPr="0047637B" w:rsidRDefault="0047637B" w:rsidP="005442E0">
      <w:pPr>
        <w:shd w:val="clear" w:color="auto" w:fill="F2F2F2" w:themeFill="background1" w:themeFillShade="F2"/>
        <w:jc w:val="both"/>
        <w:rPr>
          <w:i/>
          <w:iCs/>
          <w:sz w:val="20"/>
          <w:szCs w:val="20"/>
        </w:rPr>
      </w:pPr>
      <w:r w:rsidRPr="0047637B">
        <w:rPr>
          <w:i/>
          <w:iCs/>
          <w:sz w:val="20"/>
          <w:szCs w:val="20"/>
        </w:rPr>
        <w:t>          iv) Enflasyon oranına bağlı olarak değişken faiz oranı uygulanan 1 yıldan uzun vadeli hesaplarda %0,</w:t>
      </w:r>
    </w:p>
    <w:p w14:paraId="30374052" w14:textId="3E4D771A" w:rsidR="0047637B" w:rsidRPr="0047637B" w:rsidRDefault="0047637B" w:rsidP="005442E0">
      <w:pPr>
        <w:shd w:val="clear" w:color="auto" w:fill="F2F2F2" w:themeFill="background1" w:themeFillShade="F2"/>
        <w:jc w:val="both"/>
        <w:rPr>
          <w:b/>
          <w:bCs/>
          <w:i/>
          <w:iCs/>
          <w:sz w:val="20"/>
          <w:szCs w:val="20"/>
        </w:rPr>
      </w:pPr>
      <w:r w:rsidRPr="0047637B">
        <w:rPr>
          <w:i/>
          <w:iCs/>
          <w:sz w:val="20"/>
          <w:szCs w:val="20"/>
        </w:rPr>
        <w:t xml:space="preserve">v) </w:t>
      </w:r>
      <w:r w:rsidRPr="0047637B">
        <w:rPr>
          <w:b/>
          <w:bCs/>
          <w:i/>
          <w:iCs/>
          <w:sz w:val="20"/>
          <w:szCs w:val="20"/>
        </w:rPr>
        <w:t>Kur korumalı vadeli mevduat hesapları ile döviz tevdiat hesaplarından dönüşüm kuru üzerinden Türk lirasına çevrilen mevduat hesaplarından; 6 aya kadar (6 ay dâhil) vadeli olanlarda %1</w:t>
      </w:r>
      <w:r w:rsidR="00E35DEA" w:rsidRPr="00E35DEA">
        <w:rPr>
          <w:b/>
          <w:bCs/>
          <w:i/>
          <w:iCs/>
          <w:sz w:val="20"/>
          <w:szCs w:val="20"/>
        </w:rPr>
        <w:t>5</w:t>
      </w:r>
      <w:r w:rsidRPr="0047637B">
        <w:rPr>
          <w:b/>
          <w:bCs/>
          <w:i/>
          <w:iCs/>
          <w:sz w:val="20"/>
          <w:szCs w:val="20"/>
        </w:rPr>
        <w:t>, 1 yıla kadar (1 yıl dâhil) vadeli olanlarda %</w:t>
      </w:r>
      <w:r w:rsidR="00E35DEA" w:rsidRPr="00E35DEA">
        <w:rPr>
          <w:b/>
          <w:bCs/>
          <w:i/>
          <w:iCs/>
          <w:sz w:val="20"/>
          <w:szCs w:val="20"/>
        </w:rPr>
        <w:t>12</w:t>
      </w:r>
      <w:r w:rsidRPr="0047637B">
        <w:rPr>
          <w:b/>
          <w:bCs/>
          <w:i/>
          <w:iCs/>
          <w:sz w:val="20"/>
          <w:szCs w:val="20"/>
        </w:rPr>
        <w:t>, 1 yıldan uzun vadeli olanlarda %</w:t>
      </w:r>
      <w:r w:rsidR="00E35DEA" w:rsidRPr="00E35DEA">
        <w:rPr>
          <w:b/>
          <w:bCs/>
          <w:i/>
          <w:iCs/>
          <w:sz w:val="20"/>
          <w:szCs w:val="20"/>
        </w:rPr>
        <w:t>10</w:t>
      </w:r>
      <w:r w:rsidRPr="0047637B">
        <w:rPr>
          <w:b/>
          <w:bCs/>
          <w:i/>
          <w:iCs/>
          <w:sz w:val="20"/>
          <w:szCs w:val="20"/>
        </w:rPr>
        <w:t>,</w:t>
      </w:r>
      <w:r w:rsidRPr="00E35DEA">
        <w:rPr>
          <w:b/>
          <w:bCs/>
          <w:i/>
          <w:iCs/>
          <w:sz w:val="20"/>
          <w:szCs w:val="20"/>
        </w:rPr>
        <w:t xml:space="preserve"> </w:t>
      </w:r>
    </w:p>
    <w:p w14:paraId="52AB497A" w14:textId="332194EB" w:rsidR="0047637B" w:rsidRPr="0047637B" w:rsidRDefault="0047637B" w:rsidP="005442E0">
      <w:pPr>
        <w:shd w:val="clear" w:color="auto" w:fill="F2F2F2" w:themeFill="background1" w:themeFillShade="F2"/>
        <w:jc w:val="both"/>
        <w:rPr>
          <w:b/>
          <w:bCs/>
          <w:i/>
          <w:iCs/>
          <w:sz w:val="20"/>
          <w:szCs w:val="20"/>
        </w:rPr>
      </w:pPr>
      <w:r w:rsidRPr="0047637B">
        <w:rPr>
          <w:b/>
          <w:bCs/>
          <w:i/>
          <w:iCs/>
          <w:sz w:val="20"/>
          <w:szCs w:val="20"/>
        </w:rPr>
        <w:t>vi) Altın cinsinden mevduat hesaplarından dönüşüm fiyatı üzerinden Türk lirasına çevrilen mevduat hesaplarından; 6 aya kadar (6 ay dâhil) vadeli olanlarda %</w:t>
      </w:r>
      <w:r w:rsidR="00E35DEA" w:rsidRPr="00E35DEA">
        <w:rPr>
          <w:b/>
          <w:bCs/>
          <w:i/>
          <w:iCs/>
          <w:sz w:val="20"/>
          <w:szCs w:val="20"/>
        </w:rPr>
        <w:t>15</w:t>
      </w:r>
      <w:r w:rsidRPr="0047637B">
        <w:rPr>
          <w:b/>
          <w:bCs/>
          <w:i/>
          <w:iCs/>
          <w:sz w:val="20"/>
          <w:szCs w:val="20"/>
        </w:rPr>
        <w:t>, 1 yıla kadar (1 yıl dâhil) vadeli olanlarda %</w:t>
      </w:r>
      <w:r w:rsidR="00E35DEA" w:rsidRPr="00E35DEA">
        <w:rPr>
          <w:b/>
          <w:bCs/>
          <w:i/>
          <w:iCs/>
          <w:sz w:val="20"/>
          <w:szCs w:val="20"/>
        </w:rPr>
        <w:t>12</w:t>
      </w:r>
      <w:r w:rsidRPr="0047637B">
        <w:rPr>
          <w:b/>
          <w:bCs/>
          <w:i/>
          <w:iCs/>
          <w:sz w:val="20"/>
          <w:szCs w:val="20"/>
        </w:rPr>
        <w:t>.</w:t>
      </w:r>
      <w:r w:rsidRPr="00E35DEA">
        <w:rPr>
          <w:b/>
          <w:bCs/>
          <w:i/>
          <w:iCs/>
          <w:sz w:val="20"/>
          <w:szCs w:val="20"/>
        </w:rPr>
        <w:t xml:space="preserve"> </w:t>
      </w:r>
    </w:p>
    <w:p w14:paraId="6801E2C9" w14:textId="77777777" w:rsidR="00E35DEA" w:rsidRPr="00E35DEA" w:rsidRDefault="00E35DEA" w:rsidP="005442E0">
      <w:pPr>
        <w:shd w:val="clear" w:color="auto" w:fill="F2F2F2" w:themeFill="background1" w:themeFillShade="F2"/>
        <w:jc w:val="both"/>
        <w:rPr>
          <w:i/>
          <w:iCs/>
          <w:sz w:val="20"/>
          <w:szCs w:val="20"/>
        </w:rPr>
      </w:pPr>
      <w:r w:rsidRPr="00E35DEA">
        <w:rPr>
          <w:i/>
          <w:iCs/>
          <w:sz w:val="20"/>
          <w:szCs w:val="20"/>
        </w:rPr>
        <w:lastRenderedPageBreak/>
        <w:t>3) Katılım bankaları tarafından katılma hesabı karşılığında ödenen kar paylarından;</w:t>
      </w:r>
    </w:p>
    <w:p w14:paraId="2B662538" w14:textId="77777777" w:rsidR="00E35DEA" w:rsidRPr="00E35DEA" w:rsidRDefault="00E35DEA" w:rsidP="005442E0">
      <w:pPr>
        <w:shd w:val="clear" w:color="auto" w:fill="F2F2F2" w:themeFill="background1" w:themeFillShade="F2"/>
        <w:jc w:val="both"/>
        <w:rPr>
          <w:i/>
          <w:iCs/>
          <w:sz w:val="20"/>
          <w:szCs w:val="20"/>
        </w:rPr>
      </w:pPr>
      <w:r w:rsidRPr="00E35DEA">
        <w:rPr>
          <w:i/>
          <w:iCs/>
          <w:sz w:val="20"/>
          <w:szCs w:val="20"/>
        </w:rPr>
        <w:t>         i) Vadesiz, ihbarlı ve özel cari hesaplar ile 6 aya kadar (6 ay dâhil) vadeli hesaplarda %15,</w:t>
      </w:r>
    </w:p>
    <w:p w14:paraId="08AE93EA" w14:textId="77777777" w:rsidR="00E35DEA" w:rsidRPr="00E35DEA" w:rsidRDefault="00E35DEA" w:rsidP="005442E0">
      <w:pPr>
        <w:shd w:val="clear" w:color="auto" w:fill="F2F2F2" w:themeFill="background1" w:themeFillShade="F2"/>
        <w:jc w:val="both"/>
        <w:rPr>
          <w:i/>
          <w:iCs/>
          <w:sz w:val="20"/>
          <w:szCs w:val="20"/>
        </w:rPr>
      </w:pPr>
      <w:r w:rsidRPr="00E35DEA">
        <w:rPr>
          <w:i/>
          <w:iCs/>
          <w:sz w:val="20"/>
          <w:szCs w:val="20"/>
        </w:rPr>
        <w:t>         ii) 1 yıla kadar (1 yıl dâhil) vadeli hesaplarda %12,</w:t>
      </w:r>
    </w:p>
    <w:p w14:paraId="2C6D1ED2" w14:textId="503B240A" w:rsidR="00E35DEA" w:rsidRPr="00E35DEA" w:rsidRDefault="00E35DEA" w:rsidP="005442E0">
      <w:pPr>
        <w:shd w:val="clear" w:color="auto" w:fill="F2F2F2" w:themeFill="background1" w:themeFillShade="F2"/>
        <w:jc w:val="both"/>
        <w:rPr>
          <w:i/>
          <w:iCs/>
          <w:sz w:val="20"/>
          <w:szCs w:val="20"/>
        </w:rPr>
      </w:pPr>
      <w:r w:rsidRPr="00E35DEA">
        <w:rPr>
          <w:i/>
          <w:iCs/>
          <w:sz w:val="20"/>
          <w:szCs w:val="20"/>
        </w:rPr>
        <w:t xml:space="preserve">         iii) 1 yıldan uzun vadeli hesaplarda %10, </w:t>
      </w:r>
    </w:p>
    <w:p w14:paraId="71443B92" w14:textId="0DA9F75A" w:rsidR="00E35DEA" w:rsidRPr="00E35DEA" w:rsidRDefault="00E35DEA" w:rsidP="005442E0">
      <w:pPr>
        <w:shd w:val="clear" w:color="auto" w:fill="F2F2F2" w:themeFill="background1" w:themeFillShade="F2"/>
        <w:jc w:val="both"/>
        <w:rPr>
          <w:b/>
          <w:bCs/>
          <w:i/>
          <w:iCs/>
          <w:sz w:val="20"/>
          <w:szCs w:val="20"/>
        </w:rPr>
      </w:pPr>
      <w:r w:rsidRPr="00E35DEA">
        <w:rPr>
          <w:i/>
          <w:iCs/>
          <w:sz w:val="20"/>
          <w:szCs w:val="20"/>
        </w:rPr>
        <w:t xml:space="preserve">         iv) </w:t>
      </w:r>
      <w:r w:rsidRPr="00E35DEA">
        <w:rPr>
          <w:b/>
          <w:bCs/>
          <w:i/>
          <w:iCs/>
          <w:sz w:val="20"/>
          <w:szCs w:val="20"/>
        </w:rPr>
        <w:t xml:space="preserve">Kur korumalı vadeli katılma hesapları ile döviz cinsinden katılım fonu hesaplarından dönüşüm kuru üzerinden Türk lirasına çevrilen katılma hesaplarından; 6 aya kadar (6 ay dâhil) vadeli olanlarda %15, 1 yıla kadar (1 yıl dâhil) vadeli olanlarda %12, 1 yıldan uzun vadeli olanlarda %10, </w:t>
      </w:r>
    </w:p>
    <w:p w14:paraId="61AE55B6" w14:textId="78A13692" w:rsidR="00E35DEA" w:rsidRDefault="00E35DEA" w:rsidP="005442E0">
      <w:pPr>
        <w:shd w:val="clear" w:color="auto" w:fill="F2F2F2" w:themeFill="background1" w:themeFillShade="F2"/>
        <w:jc w:val="both"/>
        <w:rPr>
          <w:b/>
          <w:bCs/>
          <w:i/>
          <w:iCs/>
          <w:sz w:val="20"/>
          <w:szCs w:val="20"/>
        </w:rPr>
      </w:pPr>
      <w:r w:rsidRPr="00E35DEA">
        <w:rPr>
          <w:i/>
          <w:iCs/>
          <w:sz w:val="20"/>
          <w:szCs w:val="20"/>
        </w:rPr>
        <w:t xml:space="preserve">         </w:t>
      </w:r>
      <w:r w:rsidRPr="00E35DEA">
        <w:rPr>
          <w:b/>
          <w:bCs/>
          <w:i/>
          <w:iCs/>
          <w:sz w:val="20"/>
          <w:szCs w:val="20"/>
        </w:rPr>
        <w:t xml:space="preserve">v) Altın cinsinden katılım fonu hesaplarından dönüşüm fiyatı üzerinden Türk lirasına çevrilen katılma hesaplarından; 6 aya kadar (6 ay dâhil) vadeli olanlarda %15, 1 yıla kadar (1 yıl dâhil) vadeli olanlarda %12.” </w:t>
      </w:r>
    </w:p>
    <w:p w14:paraId="781159D2" w14:textId="305D55EC" w:rsidR="005442E0" w:rsidRDefault="005442E0" w:rsidP="00747B69">
      <w:r>
        <w:t>D</w:t>
      </w:r>
      <w:r w:rsidRPr="00AA39D4">
        <w:t>-</w:t>
      </w:r>
      <w:r w:rsidRPr="00383AB3">
        <w:t xml:space="preserve"> 2006/10731 Sayılı Bakanlar Kurulu Kararı’nın </w:t>
      </w:r>
      <w:r>
        <w:t>Geçici 4. Maddesindeki Tarih Uzatılmıştır:</w:t>
      </w:r>
    </w:p>
    <w:p w14:paraId="6CEB52D3" w14:textId="5B186520" w:rsidR="005442E0" w:rsidRDefault="005442E0" w:rsidP="005442E0">
      <w:r>
        <w:t xml:space="preserve">2006/10731 sayılı </w:t>
      </w:r>
      <w:proofErr w:type="spellStart"/>
      <w:r>
        <w:t>BKK’nın</w:t>
      </w:r>
      <w:proofErr w:type="spellEnd"/>
      <w:r>
        <w:t xml:space="preserve"> </w:t>
      </w:r>
      <w:r w:rsidRPr="005442E0">
        <w:t>geçici 4</w:t>
      </w:r>
      <w:r>
        <w:t>’</w:t>
      </w:r>
      <w:r w:rsidRPr="005442E0">
        <w:t>üncü maddesinde yer alan “31/1/2025” ibaresi “30/4/2025” şeklinde değiştirilmiştir.</w:t>
      </w:r>
      <w:r>
        <w:t xml:space="preserve"> Geçici 4. maddenin son hali aşağıdaki gibidir:</w:t>
      </w:r>
    </w:p>
    <w:p w14:paraId="2940AD7F" w14:textId="08C4CC74" w:rsidR="005442E0" w:rsidRDefault="005442E0" w:rsidP="00DA7EA6">
      <w:pPr>
        <w:shd w:val="clear" w:color="auto" w:fill="F2F2F2" w:themeFill="background1" w:themeFillShade="F2"/>
        <w:rPr>
          <w:i/>
          <w:iCs/>
          <w:sz w:val="20"/>
          <w:szCs w:val="20"/>
        </w:rPr>
      </w:pPr>
      <w:r w:rsidRPr="005442E0">
        <w:rPr>
          <w:i/>
          <w:iCs/>
          <w:sz w:val="20"/>
          <w:szCs w:val="20"/>
        </w:rPr>
        <w:t>“</w:t>
      </w:r>
      <w:r w:rsidRPr="005442E0">
        <w:rPr>
          <w:b/>
          <w:bCs/>
          <w:i/>
          <w:iCs/>
          <w:sz w:val="20"/>
          <w:szCs w:val="20"/>
        </w:rPr>
        <w:t>GEÇİCİ MADDE 4-</w:t>
      </w:r>
      <w:r w:rsidRPr="005442E0">
        <w:rPr>
          <w:i/>
          <w:iCs/>
          <w:sz w:val="20"/>
          <w:szCs w:val="20"/>
        </w:rPr>
        <w:t xml:space="preserve"> Bu maddenin yürürlüğe girdiği tarih ile </w:t>
      </w:r>
      <w:r w:rsidRPr="00DA7EA6">
        <w:rPr>
          <w:b/>
          <w:bCs/>
          <w:i/>
          <w:iCs/>
          <w:sz w:val="20"/>
          <w:szCs w:val="20"/>
        </w:rPr>
        <w:t>3</w:t>
      </w:r>
      <w:r w:rsidR="00DA7EA6" w:rsidRPr="00DA7EA6">
        <w:rPr>
          <w:b/>
          <w:bCs/>
          <w:i/>
          <w:iCs/>
          <w:sz w:val="20"/>
          <w:szCs w:val="20"/>
        </w:rPr>
        <w:t>0</w:t>
      </w:r>
      <w:r w:rsidRPr="00DA7EA6">
        <w:rPr>
          <w:b/>
          <w:bCs/>
          <w:i/>
          <w:iCs/>
          <w:sz w:val="20"/>
          <w:szCs w:val="20"/>
        </w:rPr>
        <w:t>/0</w:t>
      </w:r>
      <w:r w:rsidR="00DA7EA6" w:rsidRPr="00DA7EA6">
        <w:rPr>
          <w:b/>
          <w:bCs/>
          <w:i/>
          <w:iCs/>
          <w:sz w:val="20"/>
          <w:szCs w:val="20"/>
        </w:rPr>
        <w:t>4</w:t>
      </w:r>
      <w:r w:rsidRPr="00DA7EA6">
        <w:rPr>
          <w:b/>
          <w:bCs/>
          <w:i/>
          <w:iCs/>
          <w:sz w:val="20"/>
          <w:szCs w:val="20"/>
        </w:rPr>
        <w:t>/2025 tarihi</w:t>
      </w:r>
      <w:r w:rsidRPr="005442E0">
        <w:rPr>
          <w:i/>
          <w:iCs/>
          <w:sz w:val="20"/>
          <w:szCs w:val="20"/>
        </w:rPr>
        <w:t xml:space="preserve"> (bu tarih dâhil) arasında iktisap edilen,  Hazine ve Maliye Bakanlığı</w:t>
      </w:r>
      <w:r w:rsidR="00DA7EA6">
        <w:rPr>
          <w:i/>
          <w:iCs/>
          <w:sz w:val="20"/>
          <w:szCs w:val="20"/>
        </w:rPr>
        <w:t>’</w:t>
      </w:r>
      <w:r w:rsidRPr="005442E0">
        <w:rPr>
          <w:i/>
          <w:iCs/>
          <w:sz w:val="20"/>
          <w:szCs w:val="20"/>
        </w:rPr>
        <w:t>nca ihraç edilen Devlet tahvili ve Hazine bonolarından elde edilen gelir ve kazançlar ile 4749 sayılı Kamu Finansmanı ve Borç Yönetiminin Düzenlenmesi Hakkında Kanun uyarınca kurulan varlık kiralama şirketleri tarafından ihraç edilen kira sertifikalarından elde edilen gelir ve kazançlara, bu Kararın 1</w:t>
      </w:r>
      <w:r w:rsidR="00DA7EA6">
        <w:rPr>
          <w:i/>
          <w:iCs/>
          <w:sz w:val="20"/>
          <w:szCs w:val="20"/>
        </w:rPr>
        <w:t>’</w:t>
      </w:r>
      <w:r w:rsidRPr="005442E0">
        <w:rPr>
          <w:i/>
          <w:iCs/>
          <w:sz w:val="20"/>
          <w:szCs w:val="20"/>
        </w:rPr>
        <w:t>inci maddesinin birinci fıkrasının (a) bendinin (1) ve (3) numaralı alt bentleri ile (ç) bendinde yer alan oranlar %0 uygulanır.</w:t>
      </w:r>
      <w:r w:rsidR="00DA7EA6">
        <w:rPr>
          <w:i/>
          <w:iCs/>
          <w:sz w:val="20"/>
          <w:szCs w:val="20"/>
        </w:rPr>
        <w:t>”</w:t>
      </w:r>
    </w:p>
    <w:p w14:paraId="7440F463" w14:textId="53EA22A7" w:rsidR="00DA7EA6" w:rsidRPr="00DA7EA6" w:rsidRDefault="00DA7EA6" w:rsidP="005442E0">
      <w:pPr>
        <w:rPr>
          <w:b/>
          <w:bCs/>
        </w:rPr>
      </w:pPr>
      <w:r w:rsidRPr="00DA7EA6">
        <w:rPr>
          <w:b/>
          <w:bCs/>
        </w:rPr>
        <w:t>E- 2006/10731 Sayılı Bakanlar Kurulu Kararı’nın Geçici 2</w:t>
      </w:r>
      <w:r w:rsidR="00C070DD">
        <w:rPr>
          <w:b/>
          <w:bCs/>
        </w:rPr>
        <w:t>,</w:t>
      </w:r>
      <w:r w:rsidRPr="00DA7EA6">
        <w:rPr>
          <w:b/>
          <w:bCs/>
        </w:rPr>
        <w:t xml:space="preserve"> Geçic</w:t>
      </w:r>
      <w:r>
        <w:rPr>
          <w:b/>
          <w:bCs/>
        </w:rPr>
        <w:t>i</w:t>
      </w:r>
      <w:r w:rsidRPr="00DA7EA6">
        <w:rPr>
          <w:b/>
          <w:bCs/>
        </w:rPr>
        <w:t xml:space="preserve"> 3.</w:t>
      </w:r>
      <w:r w:rsidR="00C070DD">
        <w:rPr>
          <w:b/>
          <w:bCs/>
        </w:rPr>
        <w:t xml:space="preserve"> ve Geçici 5.</w:t>
      </w:r>
      <w:r w:rsidRPr="00DA7EA6">
        <w:rPr>
          <w:b/>
          <w:bCs/>
        </w:rPr>
        <w:t xml:space="preserve"> Maddelerinde Belirtilen 31.01.2025 Tarihi Uzatılmamıştır</w:t>
      </w:r>
    </w:p>
    <w:p w14:paraId="3BDDEB7D" w14:textId="3890CF5E" w:rsidR="00DA7EA6" w:rsidRDefault="00DA7EA6" w:rsidP="00AE73F7">
      <w:pPr>
        <w:jc w:val="both"/>
      </w:pPr>
      <w:r w:rsidRPr="00DA7EA6">
        <w:t>2006/10731 Sayılı Bakanlar Kurulu Kararı’nın Geçici 2</w:t>
      </w:r>
      <w:r w:rsidR="00C070DD">
        <w:t>,</w:t>
      </w:r>
      <w:r w:rsidRPr="00DA7EA6">
        <w:t xml:space="preserve"> Geçici 3</w:t>
      </w:r>
      <w:r w:rsidR="00C070DD">
        <w:t xml:space="preserve"> ve Geçici 5.</w:t>
      </w:r>
      <w:r w:rsidRPr="00DA7EA6">
        <w:t xml:space="preserve"> </w:t>
      </w:r>
      <w:r>
        <w:t>m</w:t>
      </w:r>
      <w:r w:rsidRPr="00DA7EA6">
        <w:t xml:space="preserve">addelerinde </w:t>
      </w:r>
      <w:r>
        <w:t>b</w:t>
      </w:r>
      <w:r w:rsidRPr="00DA7EA6">
        <w:t xml:space="preserve">elirtilen 31.01.2025 </w:t>
      </w:r>
      <w:r>
        <w:t>t</w:t>
      </w:r>
      <w:r w:rsidRPr="00DA7EA6">
        <w:t xml:space="preserve">arihi </w:t>
      </w:r>
      <w:r>
        <w:t>u</w:t>
      </w:r>
      <w:r w:rsidRPr="00DA7EA6">
        <w:t>zatılmamıştır</w:t>
      </w:r>
      <w:r>
        <w:t xml:space="preserve">, anılan geçici maddeler hükmünü yitirmiştir. Söz konusu maddeler, anılan </w:t>
      </w:r>
      <w:proofErr w:type="spellStart"/>
      <w:r>
        <w:t>BKK’nın</w:t>
      </w:r>
      <w:proofErr w:type="spellEnd"/>
      <w:r>
        <w:t xml:space="preserve"> 1. maddesinin (a) ve (d) bentlerinde belirtilen tevkifat oranlarının geçici olarak daha düşük </w:t>
      </w:r>
      <w:r w:rsidR="00AE73F7">
        <w:t xml:space="preserve">uygulanmasına ilişkindi. </w:t>
      </w:r>
      <w:r w:rsidR="00D24F96">
        <w:t xml:space="preserve">01 Şubat 2025 tarihinden itibaren söz konusu hesaplardan yapılacak vergi </w:t>
      </w:r>
      <w:proofErr w:type="spellStart"/>
      <w:r w:rsidR="00D24F96">
        <w:t>tevkifatında</w:t>
      </w:r>
      <w:proofErr w:type="spellEnd"/>
      <w:r w:rsidR="00D24F96">
        <w:t xml:space="preserve"> ilgili maddelerde belirtilen oranlar uygulanacaktır. A</w:t>
      </w:r>
      <w:r w:rsidR="00AE73F7">
        <w:t>rtık yürürlükte olmayan maddeler aşağıdaki gibidir:</w:t>
      </w:r>
    </w:p>
    <w:p w14:paraId="7476AF38" w14:textId="4F985D12" w:rsidR="00DA7EA6" w:rsidRPr="00DA7EA6" w:rsidRDefault="00AE73F7" w:rsidP="00532867">
      <w:pPr>
        <w:shd w:val="clear" w:color="auto" w:fill="F2F2F2" w:themeFill="background1" w:themeFillShade="F2"/>
        <w:jc w:val="both"/>
        <w:rPr>
          <w:i/>
          <w:iCs/>
          <w:sz w:val="20"/>
          <w:szCs w:val="20"/>
        </w:rPr>
      </w:pPr>
      <w:r w:rsidRPr="00AE73F7">
        <w:rPr>
          <w:b/>
          <w:bCs/>
          <w:i/>
          <w:iCs/>
          <w:sz w:val="20"/>
          <w:szCs w:val="20"/>
        </w:rPr>
        <w:t>G</w:t>
      </w:r>
      <w:r w:rsidR="00DA7EA6" w:rsidRPr="00DA7EA6">
        <w:rPr>
          <w:b/>
          <w:bCs/>
          <w:i/>
          <w:iCs/>
          <w:sz w:val="20"/>
          <w:szCs w:val="20"/>
        </w:rPr>
        <w:t>EÇİCİ MADDE 2</w:t>
      </w:r>
      <w:r w:rsidR="00DA7EA6" w:rsidRPr="00DA7EA6">
        <w:rPr>
          <w:i/>
          <w:iCs/>
          <w:sz w:val="20"/>
          <w:szCs w:val="20"/>
        </w:rPr>
        <w:t> 31/01/2025 tarihine kadar (bu tarih dâhil) vadesiz ve özel cari hesaplara ve bu maddenin yürürlüğe girdiği tarih ile 31/01/2025 tarihleri arasında (bu tarih dâhil) açılan veya vadesi bu tarihler arasında yenilenen hesaplara ödenecek faizler ve kar paylarına, bu kararın 1 inci maddesinin birinci fıkrasının (d) bendinin (2) ve (3) numaralı alt bentlerinde yer alan oranlar aşağıdaki şekilde uygulanır.</w:t>
      </w:r>
    </w:p>
    <w:p w14:paraId="082CF1A1" w14:textId="77777777" w:rsidR="00DA7EA6" w:rsidRPr="00DA7EA6" w:rsidRDefault="00DA7EA6" w:rsidP="00532867">
      <w:pPr>
        <w:shd w:val="clear" w:color="auto" w:fill="F2F2F2" w:themeFill="background1" w:themeFillShade="F2"/>
        <w:jc w:val="both"/>
        <w:rPr>
          <w:i/>
          <w:iCs/>
          <w:sz w:val="20"/>
          <w:szCs w:val="20"/>
        </w:rPr>
      </w:pPr>
      <w:r w:rsidRPr="00DA7EA6">
        <w:rPr>
          <w:i/>
          <w:iCs/>
          <w:sz w:val="20"/>
          <w:szCs w:val="20"/>
        </w:rPr>
        <w:t>2) Mevduat faizlerinden;</w:t>
      </w:r>
    </w:p>
    <w:p w14:paraId="3F3E71C0" w14:textId="23375FB8" w:rsidR="00DA7EA6" w:rsidRPr="00DA7EA6" w:rsidRDefault="00DA7EA6" w:rsidP="00532867">
      <w:pPr>
        <w:shd w:val="clear" w:color="auto" w:fill="F2F2F2" w:themeFill="background1" w:themeFillShade="F2"/>
        <w:jc w:val="both"/>
        <w:rPr>
          <w:i/>
          <w:iCs/>
          <w:sz w:val="20"/>
          <w:szCs w:val="20"/>
        </w:rPr>
      </w:pPr>
      <w:r w:rsidRPr="00DA7EA6">
        <w:rPr>
          <w:i/>
          <w:iCs/>
          <w:sz w:val="20"/>
          <w:szCs w:val="20"/>
        </w:rPr>
        <w:t>                i) Vadesiz ve ihbarlı hesaplar ile 6 aya kadar (6 ay dâhil) vadeli hesaplarda %10,</w:t>
      </w:r>
    </w:p>
    <w:p w14:paraId="599E986F" w14:textId="1E5FEA11" w:rsidR="00DA7EA6" w:rsidRPr="00DA7EA6" w:rsidRDefault="00DA7EA6" w:rsidP="00532867">
      <w:pPr>
        <w:shd w:val="clear" w:color="auto" w:fill="F2F2F2" w:themeFill="background1" w:themeFillShade="F2"/>
        <w:jc w:val="both"/>
        <w:rPr>
          <w:i/>
          <w:iCs/>
          <w:sz w:val="20"/>
          <w:szCs w:val="20"/>
        </w:rPr>
      </w:pPr>
      <w:r w:rsidRPr="00DA7EA6">
        <w:rPr>
          <w:i/>
          <w:iCs/>
          <w:sz w:val="20"/>
          <w:szCs w:val="20"/>
        </w:rPr>
        <w:t>                ii) 1 yıla kadar (1 yıl dâhil) vadeli hesaplarda %7,5,</w:t>
      </w:r>
    </w:p>
    <w:p w14:paraId="344AB151" w14:textId="60A347F2" w:rsidR="00DA7EA6" w:rsidRPr="00DA7EA6" w:rsidRDefault="00DA7EA6" w:rsidP="00532867">
      <w:pPr>
        <w:shd w:val="clear" w:color="auto" w:fill="F2F2F2" w:themeFill="background1" w:themeFillShade="F2"/>
        <w:jc w:val="both"/>
        <w:rPr>
          <w:i/>
          <w:iCs/>
          <w:sz w:val="20"/>
          <w:szCs w:val="20"/>
        </w:rPr>
      </w:pPr>
      <w:r w:rsidRPr="00DA7EA6">
        <w:rPr>
          <w:i/>
          <w:iCs/>
          <w:sz w:val="20"/>
          <w:szCs w:val="20"/>
        </w:rPr>
        <w:t>                iii)1 yıldan uzun vadeli hesaplarda %5,</w:t>
      </w:r>
    </w:p>
    <w:p w14:paraId="308145D8" w14:textId="730BEA79" w:rsidR="00DA7EA6" w:rsidRPr="00DA7EA6" w:rsidRDefault="00DA7EA6" w:rsidP="00532867">
      <w:pPr>
        <w:shd w:val="clear" w:color="auto" w:fill="F2F2F2" w:themeFill="background1" w:themeFillShade="F2"/>
        <w:jc w:val="both"/>
        <w:rPr>
          <w:i/>
          <w:iCs/>
          <w:sz w:val="20"/>
          <w:szCs w:val="20"/>
        </w:rPr>
      </w:pPr>
      <w:r w:rsidRPr="00DA7EA6">
        <w:rPr>
          <w:i/>
          <w:iCs/>
          <w:sz w:val="20"/>
          <w:szCs w:val="20"/>
        </w:rPr>
        <w:t>               iv)Enflasyon oranına bağlı olarak değişken faiz oranı uygulanan 1 yıldan uzun vadeli hesaplarda %0,</w:t>
      </w:r>
    </w:p>
    <w:p w14:paraId="6A614C01" w14:textId="480C72C1" w:rsidR="00DA7EA6" w:rsidRPr="00DA7EA6" w:rsidRDefault="00DA7EA6" w:rsidP="00532867">
      <w:pPr>
        <w:shd w:val="clear" w:color="auto" w:fill="F2F2F2" w:themeFill="background1" w:themeFillShade="F2"/>
        <w:jc w:val="both"/>
        <w:rPr>
          <w:i/>
          <w:iCs/>
          <w:sz w:val="20"/>
          <w:szCs w:val="20"/>
        </w:rPr>
      </w:pPr>
      <w:r w:rsidRPr="00DA7EA6">
        <w:rPr>
          <w:i/>
          <w:iCs/>
          <w:sz w:val="20"/>
          <w:szCs w:val="20"/>
        </w:rPr>
        <w:t>  v) Kur korumalı vadeli mevduat hesapları ile döviz tevdiat hesaplarından dönüşüm kuru üzerinden Türk lirasına çevrilen mevduat hesaplarından; 6 aya kadar (6 ay dâhil) vadeli olanlarda %10, 1 yıla kadar (1 yıl dâhil) vadeli olanlarda %7,5, 1 yıldan uzun vadeli olanlarda %5,</w:t>
      </w:r>
      <w:r w:rsidR="00AE73F7" w:rsidRPr="00AE73F7">
        <w:rPr>
          <w:i/>
          <w:iCs/>
          <w:sz w:val="20"/>
          <w:szCs w:val="20"/>
        </w:rPr>
        <w:t xml:space="preserve"> </w:t>
      </w:r>
    </w:p>
    <w:p w14:paraId="31ADA8B7" w14:textId="1230A3E8" w:rsidR="00DA7EA6" w:rsidRPr="00DA7EA6" w:rsidRDefault="00DA7EA6" w:rsidP="00532867">
      <w:pPr>
        <w:shd w:val="clear" w:color="auto" w:fill="F2F2F2" w:themeFill="background1" w:themeFillShade="F2"/>
        <w:jc w:val="both"/>
        <w:rPr>
          <w:i/>
          <w:iCs/>
          <w:sz w:val="20"/>
          <w:szCs w:val="20"/>
        </w:rPr>
      </w:pPr>
      <w:r w:rsidRPr="00DA7EA6">
        <w:rPr>
          <w:i/>
          <w:iCs/>
          <w:sz w:val="20"/>
          <w:szCs w:val="20"/>
        </w:rPr>
        <w:lastRenderedPageBreak/>
        <w:t>  vi) Altın cinsinden mevduat hesaplarından dönüşüm fiyatı üzerinden Türk lirasına çevrilen mevduat hesaplarından; 6 aya kadar (6 ay dâhil) vadeli olanlarda %10, 1 yıla kadar (1 yıl dâhil) vadeli olanlarda %7,5.</w:t>
      </w:r>
      <w:r w:rsidR="00AE73F7" w:rsidRPr="00AE73F7">
        <w:rPr>
          <w:i/>
          <w:iCs/>
          <w:sz w:val="20"/>
          <w:szCs w:val="20"/>
        </w:rPr>
        <w:t xml:space="preserve"> </w:t>
      </w:r>
    </w:p>
    <w:p w14:paraId="6E2E52F6" w14:textId="77777777" w:rsidR="00DA7EA6" w:rsidRPr="00DA7EA6" w:rsidRDefault="00DA7EA6" w:rsidP="00532867">
      <w:pPr>
        <w:shd w:val="clear" w:color="auto" w:fill="F2F2F2" w:themeFill="background1" w:themeFillShade="F2"/>
        <w:jc w:val="both"/>
        <w:rPr>
          <w:i/>
          <w:iCs/>
          <w:sz w:val="20"/>
          <w:szCs w:val="20"/>
        </w:rPr>
      </w:pPr>
      <w:r w:rsidRPr="00DA7EA6">
        <w:rPr>
          <w:i/>
          <w:iCs/>
          <w:sz w:val="20"/>
          <w:szCs w:val="20"/>
        </w:rPr>
        <w:t>3) Katılım bankaları tarafından katılma hesabı karşılığında ödenen kar paylarından;</w:t>
      </w:r>
    </w:p>
    <w:p w14:paraId="0231A972" w14:textId="6F0CBEA4" w:rsidR="00DA7EA6" w:rsidRPr="00DA7EA6" w:rsidRDefault="00DA7EA6" w:rsidP="00532867">
      <w:pPr>
        <w:shd w:val="clear" w:color="auto" w:fill="F2F2F2" w:themeFill="background1" w:themeFillShade="F2"/>
        <w:jc w:val="both"/>
        <w:rPr>
          <w:i/>
          <w:iCs/>
          <w:sz w:val="20"/>
          <w:szCs w:val="20"/>
        </w:rPr>
      </w:pPr>
      <w:r w:rsidRPr="00DA7EA6">
        <w:rPr>
          <w:i/>
          <w:iCs/>
          <w:sz w:val="20"/>
          <w:szCs w:val="20"/>
        </w:rPr>
        <w:t>              i) Vadesiz, ihbarlı ve özel cari hesaplar ile 6 aya kadar (6 ay dâhil) vadeli hesaplarda %10,</w:t>
      </w:r>
    </w:p>
    <w:p w14:paraId="463E3A7A" w14:textId="56FA7EBB" w:rsidR="00DA7EA6" w:rsidRPr="00DA7EA6" w:rsidRDefault="00DA7EA6" w:rsidP="00532867">
      <w:pPr>
        <w:shd w:val="clear" w:color="auto" w:fill="F2F2F2" w:themeFill="background1" w:themeFillShade="F2"/>
        <w:jc w:val="both"/>
        <w:rPr>
          <w:i/>
          <w:iCs/>
          <w:sz w:val="20"/>
          <w:szCs w:val="20"/>
        </w:rPr>
      </w:pPr>
      <w:r w:rsidRPr="00DA7EA6">
        <w:rPr>
          <w:i/>
          <w:iCs/>
          <w:sz w:val="20"/>
          <w:szCs w:val="20"/>
        </w:rPr>
        <w:t>              ii) 1 yıla kadar (1 yıl dâhil) vadeli hesaplarda %7,5,</w:t>
      </w:r>
    </w:p>
    <w:p w14:paraId="5C563FC6" w14:textId="62DCAE2A" w:rsidR="00DA7EA6" w:rsidRPr="00DA7EA6" w:rsidRDefault="00DA7EA6" w:rsidP="00532867">
      <w:pPr>
        <w:shd w:val="clear" w:color="auto" w:fill="F2F2F2" w:themeFill="background1" w:themeFillShade="F2"/>
        <w:jc w:val="both"/>
        <w:rPr>
          <w:i/>
          <w:iCs/>
          <w:sz w:val="20"/>
          <w:szCs w:val="20"/>
        </w:rPr>
      </w:pPr>
      <w:r w:rsidRPr="00DA7EA6">
        <w:rPr>
          <w:i/>
          <w:iCs/>
          <w:sz w:val="20"/>
          <w:szCs w:val="20"/>
        </w:rPr>
        <w:t>              iii) 1 yıldan uzun vadeli hesaplarda %5,</w:t>
      </w:r>
    </w:p>
    <w:p w14:paraId="73D97D85" w14:textId="01943F2E" w:rsidR="00DA7EA6" w:rsidRPr="00DA7EA6" w:rsidRDefault="00DA7EA6" w:rsidP="00532867">
      <w:pPr>
        <w:shd w:val="clear" w:color="auto" w:fill="F2F2F2" w:themeFill="background1" w:themeFillShade="F2"/>
        <w:jc w:val="both"/>
        <w:rPr>
          <w:i/>
          <w:iCs/>
          <w:sz w:val="20"/>
          <w:szCs w:val="20"/>
        </w:rPr>
      </w:pPr>
      <w:r w:rsidRPr="00DA7EA6">
        <w:rPr>
          <w:i/>
          <w:iCs/>
          <w:sz w:val="20"/>
          <w:szCs w:val="20"/>
        </w:rPr>
        <w:t>  iv) Kur korumalı vadeli katılma hesapları ile döviz cinsinden katılım fonu hesaplarından dönüşüm kuru üzerinden Türk lirasına çevrilen katılma hesaplarından; 6 aya kadar (6 ay dâhil) vadeli olanlarda %10, 1 yıla kadar (1 yıl dâhil) vadeli olanlarda %7,5, 1 yıldan uzun vadeli olanlarda %5,</w:t>
      </w:r>
      <w:r w:rsidR="00AE73F7" w:rsidRPr="00AE73F7">
        <w:rPr>
          <w:i/>
          <w:iCs/>
          <w:sz w:val="20"/>
          <w:szCs w:val="20"/>
        </w:rPr>
        <w:t xml:space="preserve"> </w:t>
      </w:r>
    </w:p>
    <w:p w14:paraId="79B15B69" w14:textId="0CB01AD6" w:rsidR="00DA7EA6" w:rsidRPr="00DA7EA6" w:rsidRDefault="00DA7EA6" w:rsidP="00532867">
      <w:pPr>
        <w:shd w:val="clear" w:color="auto" w:fill="F2F2F2" w:themeFill="background1" w:themeFillShade="F2"/>
        <w:jc w:val="both"/>
        <w:rPr>
          <w:i/>
          <w:iCs/>
          <w:sz w:val="20"/>
          <w:szCs w:val="20"/>
        </w:rPr>
      </w:pPr>
      <w:r w:rsidRPr="00DA7EA6">
        <w:rPr>
          <w:i/>
          <w:iCs/>
          <w:sz w:val="20"/>
          <w:szCs w:val="20"/>
        </w:rPr>
        <w:t>v) Altın cinsinden katılım fonu hesaplarından dönüşüm fiyatı üzerinden Türk lirasına çevrilen katılma hesaplarından; 6 aya kadar (6 ay dâhil) vadeli olanlarda %10, 1 yıla kadar (1 yıl dâhil) vadeli olanlarda %7,5.</w:t>
      </w:r>
      <w:r w:rsidR="00AE73F7" w:rsidRPr="00AE73F7">
        <w:rPr>
          <w:i/>
          <w:iCs/>
          <w:sz w:val="20"/>
          <w:szCs w:val="20"/>
        </w:rPr>
        <w:t xml:space="preserve"> </w:t>
      </w:r>
    </w:p>
    <w:p w14:paraId="240CD457" w14:textId="2746644F" w:rsidR="00DA7EA6" w:rsidRPr="00DA7EA6" w:rsidRDefault="00DA7EA6" w:rsidP="00532867">
      <w:pPr>
        <w:shd w:val="clear" w:color="auto" w:fill="F2F2F2" w:themeFill="background1" w:themeFillShade="F2"/>
        <w:jc w:val="both"/>
        <w:rPr>
          <w:i/>
          <w:iCs/>
          <w:sz w:val="20"/>
          <w:szCs w:val="20"/>
        </w:rPr>
      </w:pPr>
      <w:r w:rsidRPr="00DA7EA6">
        <w:rPr>
          <w:i/>
          <w:iCs/>
          <w:sz w:val="20"/>
          <w:szCs w:val="20"/>
        </w:rPr>
        <w:t> </w:t>
      </w:r>
      <w:r w:rsidRPr="00DA7EA6">
        <w:rPr>
          <w:b/>
          <w:bCs/>
          <w:i/>
          <w:iCs/>
          <w:sz w:val="20"/>
          <w:szCs w:val="20"/>
        </w:rPr>
        <w:t>GEÇİCİ MADDE 3- </w:t>
      </w:r>
      <w:r w:rsidRPr="00DA7EA6">
        <w:rPr>
          <w:i/>
          <w:iCs/>
          <w:sz w:val="20"/>
          <w:szCs w:val="20"/>
        </w:rPr>
        <w:t>(1) Bu maddenin yürürlüğe girdiği tarih ile 31/01/2025 tarihi (bu tarih dâhil) arasında iktisap edilen, bankalar tarafından ihraç edilen tahvil ve bonolardan elde edilen gelir ve kazançlar ile fon kullanıcısının bu bankalar olduğu varlık kiralama şirketleri tarafından ihraç edilen kira sertifikalarından elde edilen gelir ve kazançlara bu Kararın 1 inci maddesinin birinci fıkrasının (a) bendinin (1) ve (3) numaralı alt bentleri ile (ç) bendinde yer alan oranlar aşağıdaki şekilde uygulanır.</w:t>
      </w:r>
    </w:p>
    <w:p w14:paraId="1B3AD790" w14:textId="5282EAD6" w:rsidR="00DA7EA6" w:rsidRPr="00DA7EA6" w:rsidRDefault="00DA7EA6" w:rsidP="00532867">
      <w:pPr>
        <w:shd w:val="clear" w:color="auto" w:fill="F2F2F2" w:themeFill="background1" w:themeFillShade="F2"/>
        <w:jc w:val="both"/>
        <w:rPr>
          <w:i/>
          <w:iCs/>
          <w:sz w:val="20"/>
          <w:szCs w:val="20"/>
        </w:rPr>
      </w:pPr>
      <w:r w:rsidRPr="00DA7EA6">
        <w:rPr>
          <w:i/>
          <w:iCs/>
          <w:sz w:val="20"/>
          <w:szCs w:val="20"/>
        </w:rPr>
        <w:t>                i) Vadesi 6 aya kadar (6 ay dâhil) olanlara sağlanan gelirlerden %10,</w:t>
      </w:r>
    </w:p>
    <w:p w14:paraId="3B6C6D81" w14:textId="0378002B" w:rsidR="00DA7EA6" w:rsidRPr="00DA7EA6" w:rsidRDefault="00DA7EA6" w:rsidP="00532867">
      <w:pPr>
        <w:shd w:val="clear" w:color="auto" w:fill="F2F2F2" w:themeFill="background1" w:themeFillShade="F2"/>
        <w:jc w:val="both"/>
        <w:rPr>
          <w:i/>
          <w:iCs/>
          <w:sz w:val="20"/>
          <w:szCs w:val="20"/>
        </w:rPr>
      </w:pPr>
      <w:r w:rsidRPr="00DA7EA6">
        <w:rPr>
          <w:i/>
          <w:iCs/>
          <w:sz w:val="20"/>
          <w:szCs w:val="20"/>
        </w:rPr>
        <w:t>                ii) Vadesi 1 yıla kadar (1 yıl dâhil) olanlara sağlanan gelirlerden %7,5,</w:t>
      </w:r>
    </w:p>
    <w:p w14:paraId="49B1BE90" w14:textId="5B023562" w:rsidR="00DA7EA6" w:rsidRPr="00DA7EA6" w:rsidRDefault="00DA7EA6" w:rsidP="00532867">
      <w:pPr>
        <w:shd w:val="clear" w:color="auto" w:fill="F2F2F2" w:themeFill="background1" w:themeFillShade="F2"/>
        <w:jc w:val="both"/>
        <w:rPr>
          <w:i/>
          <w:iCs/>
          <w:sz w:val="20"/>
          <w:szCs w:val="20"/>
        </w:rPr>
      </w:pPr>
      <w:r w:rsidRPr="00DA7EA6">
        <w:rPr>
          <w:i/>
          <w:iCs/>
          <w:sz w:val="20"/>
          <w:szCs w:val="20"/>
        </w:rPr>
        <w:t>                iii) Vadesi 1 yıldan uzun olanlara sağlanan gelirlerden %5,</w:t>
      </w:r>
    </w:p>
    <w:p w14:paraId="42E865D7" w14:textId="18DDF9CD" w:rsidR="00DA7EA6" w:rsidRPr="00DA7EA6" w:rsidRDefault="00DA7EA6" w:rsidP="00532867">
      <w:pPr>
        <w:shd w:val="clear" w:color="auto" w:fill="F2F2F2" w:themeFill="background1" w:themeFillShade="F2"/>
        <w:jc w:val="both"/>
        <w:rPr>
          <w:i/>
          <w:iCs/>
          <w:sz w:val="20"/>
          <w:szCs w:val="20"/>
        </w:rPr>
      </w:pPr>
      <w:r w:rsidRPr="00DA7EA6">
        <w:rPr>
          <w:i/>
          <w:iCs/>
          <w:sz w:val="20"/>
          <w:szCs w:val="20"/>
        </w:rPr>
        <w:t>               iv) 6 aydan az süreyle (6 ay dâhil) elde tutulanların elden çıkarılmasından doğan kazançlardan %10,</w:t>
      </w:r>
      <w:r w:rsidR="00AE73F7" w:rsidRPr="00AE73F7">
        <w:rPr>
          <w:i/>
          <w:iCs/>
          <w:sz w:val="20"/>
          <w:szCs w:val="20"/>
        </w:rPr>
        <w:t xml:space="preserve"> </w:t>
      </w:r>
    </w:p>
    <w:p w14:paraId="6897C68A" w14:textId="193324BF" w:rsidR="00DA7EA6" w:rsidRPr="00DA7EA6" w:rsidRDefault="00DA7EA6" w:rsidP="00532867">
      <w:pPr>
        <w:shd w:val="clear" w:color="auto" w:fill="F2F2F2" w:themeFill="background1" w:themeFillShade="F2"/>
        <w:jc w:val="both"/>
        <w:rPr>
          <w:i/>
          <w:iCs/>
          <w:sz w:val="20"/>
          <w:szCs w:val="20"/>
        </w:rPr>
      </w:pPr>
      <w:r w:rsidRPr="00DA7EA6">
        <w:rPr>
          <w:i/>
          <w:iCs/>
          <w:sz w:val="20"/>
          <w:szCs w:val="20"/>
        </w:rPr>
        <w:t>               v) 1 yıldan az süreyle (1 yıl dâhil) elde tutulanların elden çıkarılmasından doğan kazançlardan %7,5,</w:t>
      </w:r>
      <w:r w:rsidR="00AE73F7" w:rsidRPr="00AE73F7">
        <w:rPr>
          <w:i/>
          <w:iCs/>
          <w:sz w:val="20"/>
          <w:szCs w:val="20"/>
        </w:rPr>
        <w:t xml:space="preserve"> </w:t>
      </w:r>
    </w:p>
    <w:p w14:paraId="21A88961" w14:textId="5A15721A" w:rsidR="00DA7EA6" w:rsidRPr="00DA7EA6" w:rsidRDefault="00DA7EA6" w:rsidP="00532867">
      <w:pPr>
        <w:shd w:val="clear" w:color="auto" w:fill="F2F2F2" w:themeFill="background1" w:themeFillShade="F2"/>
        <w:jc w:val="both"/>
        <w:rPr>
          <w:i/>
          <w:iCs/>
          <w:sz w:val="20"/>
          <w:szCs w:val="20"/>
        </w:rPr>
      </w:pPr>
      <w:r w:rsidRPr="00DA7EA6">
        <w:rPr>
          <w:i/>
          <w:iCs/>
          <w:sz w:val="20"/>
          <w:szCs w:val="20"/>
        </w:rPr>
        <w:t>               vi) 1 yıldan fazla süreyle elde tutulanların elden çıkarılmasından doğan kazançlardan %5,”</w:t>
      </w:r>
    </w:p>
    <w:p w14:paraId="3454B41B" w14:textId="77777777" w:rsidR="00C070DD" w:rsidRDefault="00DA7EA6" w:rsidP="00532867">
      <w:pPr>
        <w:shd w:val="clear" w:color="auto" w:fill="F2F2F2" w:themeFill="background1" w:themeFillShade="F2"/>
        <w:jc w:val="both"/>
        <w:rPr>
          <w:i/>
          <w:iCs/>
          <w:sz w:val="20"/>
          <w:szCs w:val="20"/>
        </w:rPr>
      </w:pPr>
      <w:r w:rsidRPr="00DA7EA6">
        <w:rPr>
          <w:i/>
          <w:iCs/>
          <w:sz w:val="20"/>
          <w:szCs w:val="20"/>
        </w:rPr>
        <w:t xml:space="preserve">            (2) Bu maddenin yürürlüğe girdiği tarih ile 31/10/2024 tarihi (bu tarih dâhil) arasında iktisap edilen, (değişken, karma, </w:t>
      </w:r>
      <w:proofErr w:type="spellStart"/>
      <w:r w:rsidRPr="00DA7EA6">
        <w:rPr>
          <w:i/>
          <w:iCs/>
          <w:sz w:val="20"/>
          <w:szCs w:val="20"/>
        </w:rPr>
        <w:t>eurobond</w:t>
      </w:r>
      <w:proofErr w:type="spellEnd"/>
      <w:r w:rsidRPr="00DA7EA6">
        <w:rPr>
          <w:i/>
          <w:iCs/>
          <w:sz w:val="20"/>
          <w:szCs w:val="20"/>
        </w:rPr>
        <w:t>, dış borçlanma, yabancı, serbest fonlar ile unvanında ‘’döviz’’ ifadesi geçen yatırım fonları hariç) yatırım fonlarından elde edilen gelir ve kazançlara, bu Kararın 1 inci maddesinin birinci fıkrasının (a) bendinin (1) numaralı alt bendi ile (ç) bendinde yer alan oranlar %7,5 uygulanır.</w:t>
      </w:r>
    </w:p>
    <w:p w14:paraId="59AB21A2" w14:textId="2F2F9DD2" w:rsidR="00DA7EA6" w:rsidRPr="00DA7EA6" w:rsidRDefault="00C070DD" w:rsidP="00532867">
      <w:pPr>
        <w:shd w:val="clear" w:color="auto" w:fill="F2F2F2" w:themeFill="background1" w:themeFillShade="F2"/>
        <w:jc w:val="both"/>
        <w:rPr>
          <w:i/>
          <w:iCs/>
          <w:sz w:val="20"/>
          <w:szCs w:val="20"/>
        </w:rPr>
      </w:pPr>
      <w:r w:rsidRPr="00C070DD">
        <w:rPr>
          <w:b/>
          <w:bCs/>
          <w:i/>
          <w:iCs/>
          <w:sz w:val="20"/>
          <w:szCs w:val="20"/>
        </w:rPr>
        <w:t>GEÇİCİ MADDE 5-</w:t>
      </w:r>
      <w:bookmarkStart w:id="0" w:name="_ednref57"/>
      <w:r w:rsidRPr="00C070DD">
        <w:rPr>
          <w:b/>
          <w:bCs/>
          <w:i/>
          <w:iCs/>
          <w:sz w:val="20"/>
          <w:szCs w:val="20"/>
        </w:rPr>
        <w:fldChar w:fldCharType="begin"/>
      </w:r>
      <w:r w:rsidRPr="00C070DD">
        <w:rPr>
          <w:b/>
          <w:bCs/>
          <w:i/>
          <w:iCs/>
          <w:sz w:val="20"/>
          <w:szCs w:val="20"/>
        </w:rPr>
        <w:instrText>HYPERLINK "file:///C:\\Users\\PC\\Desktop\\2006%2010731%20i%C5%9Flenmi%C5%9F%20metin%20ge%C3%A7ici%204%20ve%205%20hari%C3%A7%2025%20puanl%C4%B1k%20art%C4%B1%C5%9F%20%20%20(003)%20(003)%203%20ayl%C4%B1k%20art%C4%B1%C5%9F.docx" \l "_edn57" \o ""</w:instrText>
      </w:r>
      <w:r w:rsidRPr="00C070DD">
        <w:rPr>
          <w:b/>
          <w:bCs/>
          <w:i/>
          <w:iCs/>
          <w:sz w:val="20"/>
          <w:szCs w:val="20"/>
        </w:rPr>
      </w:r>
      <w:r w:rsidRPr="00C070DD">
        <w:rPr>
          <w:b/>
          <w:bCs/>
          <w:i/>
          <w:iCs/>
          <w:sz w:val="20"/>
          <w:szCs w:val="20"/>
        </w:rPr>
        <w:fldChar w:fldCharType="separate"/>
      </w:r>
      <w:r w:rsidRPr="00C070DD">
        <w:rPr>
          <w:i/>
          <w:iCs/>
          <w:sz w:val="20"/>
          <w:szCs w:val="20"/>
        </w:rPr>
        <w:fldChar w:fldCharType="end"/>
      </w:r>
      <w:bookmarkEnd w:id="0"/>
      <w:r w:rsidRPr="00C070DD">
        <w:rPr>
          <w:i/>
          <w:iCs/>
          <w:sz w:val="20"/>
          <w:szCs w:val="20"/>
        </w:rPr>
        <w:t>Bu maddenin yürürlüğe girdiği tarih ile 31/01/2025 tarihi (bu tarih dahil) arasında iktisap edilen, 6362 sayılı Kanun kapsamında kurulan ipotek finansmanı kuruluşları (bu şirketlerin kurucusu olduğu varlık finansmanı fonları ve konut finansmanı fonları dahil) tarafından ihraç edilen varlığa dayalı menkul kıymetler, ipoteğe dayalı menkul kıymetler, ipotek teminatlı menkul kıymetler ve varlık teminatlı menkul kıymetlerden elde edilen gelir ve kazançlara 1 inci maddenin birinci fıkrasının (a) bendinin (1) ve (3) numaralı alt bentleri ile (ç) bendinde yer alan oranlar %7,5 olarak uygulanır.</w:t>
      </w:r>
      <w:r w:rsidR="00AE73F7" w:rsidRPr="00AE73F7">
        <w:rPr>
          <w:i/>
          <w:iCs/>
          <w:sz w:val="20"/>
          <w:szCs w:val="20"/>
        </w:rPr>
        <w:t>”</w:t>
      </w:r>
    </w:p>
    <w:p w14:paraId="15362410" w14:textId="77777777" w:rsidR="00DA7EA6" w:rsidRPr="00DA7EA6" w:rsidRDefault="00DA7EA6" w:rsidP="00DA7EA6">
      <w:r w:rsidRPr="00DA7EA6">
        <w:t> </w:t>
      </w:r>
    </w:p>
    <w:p w14:paraId="75E9F054" w14:textId="663DEB0B" w:rsidR="005442E0" w:rsidRPr="005442E0" w:rsidRDefault="005442E0" w:rsidP="005442E0"/>
    <w:p w14:paraId="324618E9" w14:textId="77777777" w:rsidR="00E35DEA" w:rsidRPr="00E35DEA" w:rsidRDefault="00E35DEA" w:rsidP="00E35DEA">
      <w:pPr>
        <w:jc w:val="both"/>
        <w:rPr>
          <w:sz w:val="20"/>
          <w:szCs w:val="20"/>
        </w:rPr>
      </w:pPr>
    </w:p>
    <w:p w14:paraId="31CF9F42" w14:textId="102EB64C" w:rsidR="0047637B" w:rsidRPr="0047637B" w:rsidRDefault="0047637B" w:rsidP="0047637B">
      <w:pPr>
        <w:jc w:val="both"/>
      </w:pPr>
    </w:p>
    <w:p w14:paraId="73E5BDDB" w14:textId="1EBCB5C7" w:rsidR="0047637B" w:rsidRDefault="0047637B" w:rsidP="0047637B">
      <w:pPr>
        <w:jc w:val="both"/>
      </w:pPr>
    </w:p>
    <w:sectPr w:rsidR="0047637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385D6" w14:textId="77777777" w:rsidR="003D6859" w:rsidRDefault="003D6859" w:rsidP="008521AB">
      <w:pPr>
        <w:spacing w:after="0" w:line="240" w:lineRule="auto"/>
      </w:pPr>
      <w:r>
        <w:separator/>
      </w:r>
    </w:p>
  </w:endnote>
  <w:endnote w:type="continuationSeparator" w:id="0">
    <w:p w14:paraId="5B70BDD8" w14:textId="77777777" w:rsidR="003D6859" w:rsidRDefault="003D6859" w:rsidP="0085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64B5" w14:textId="77777777" w:rsidR="00965BC5" w:rsidRDefault="00965BC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98176"/>
      <w:docPartObj>
        <w:docPartGallery w:val="Page Numbers (Bottom of Page)"/>
        <w:docPartUnique/>
      </w:docPartObj>
    </w:sdtPr>
    <w:sdtContent>
      <w:p w14:paraId="17076C3F" w14:textId="606F318C" w:rsidR="008521AB" w:rsidRDefault="008521AB">
        <w:pPr>
          <w:pStyle w:val="AltBilgi"/>
          <w:jc w:val="right"/>
        </w:pPr>
        <w:r>
          <w:fldChar w:fldCharType="begin"/>
        </w:r>
        <w:r>
          <w:instrText>PAGE   \* MERGEFORMAT</w:instrText>
        </w:r>
        <w:r>
          <w:fldChar w:fldCharType="separate"/>
        </w:r>
        <w:r>
          <w:t>2</w:t>
        </w:r>
        <w:r>
          <w:fldChar w:fldCharType="end"/>
        </w:r>
      </w:p>
    </w:sdtContent>
  </w:sdt>
  <w:p w14:paraId="78040BFF" w14:textId="77777777" w:rsidR="008521AB" w:rsidRDefault="008521A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C537" w14:textId="77777777" w:rsidR="00965BC5" w:rsidRDefault="00965B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11B2" w14:textId="77777777" w:rsidR="003D6859" w:rsidRDefault="003D6859" w:rsidP="008521AB">
      <w:pPr>
        <w:spacing w:after="0" w:line="240" w:lineRule="auto"/>
      </w:pPr>
      <w:r>
        <w:separator/>
      </w:r>
    </w:p>
  </w:footnote>
  <w:footnote w:type="continuationSeparator" w:id="0">
    <w:p w14:paraId="21ACA1D4" w14:textId="77777777" w:rsidR="003D6859" w:rsidRDefault="003D6859" w:rsidP="00852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1A08" w14:textId="77777777" w:rsidR="00965BC5" w:rsidRDefault="00965BC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4A87" w14:textId="77777777" w:rsidR="00965BC5" w:rsidRPr="0033768F" w:rsidRDefault="00965BC5" w:rsidP="00965BC5">
    <w:pPr>
      <w:spacing w:after="0"/>
      <w:jc w:val="center"/>
      <w:rPr>
        <w:rFonts w:ascii="Comic Sans MS" w:hAnsi="Comic Sans MS"/>
        <w:b/>
        <w:bCs/>
        <w:color w:val="002060"/>
        <w:sz w:val="36"/>
        <w:szCs w:val="36"/>
      </w:rPr>
    </w:pPr>
    <w:r w:rsidRPr="0033768F">
      <w:rPr>
        <w:rFonts w:ascii="Comic Sans MS" w:hAnsi="Comic Sans MS"/>
        <w:b/>
        <w:bCs/>
        <w:color w:val="002060"/>
        <w:sz w:val="36"/>
        <w:szCs w:val="36"/>
      </w:rPr>
      <w:t>ATA DENETİM</w:t>
    </w:r>
  </w:p>
  <w:p w14:paraId="6F870437" w14:textId="77777777" w:rsidR="00965BC5" w:rsidRPr="0033768F" w:rsidRDefault="00965BC5" w:rsidP="00965BC5">
    <w:pPr>
      <w:pBdr>
        <w:bottom w:val="single" w:sz="18" w:space="1" w:color="auto"/>
      </w:pBdr>
      <w:spacing w:after="0"/>
      <w:jc w:val="center"/>
      <w:rPr>
        <w:rFonts w:ascii="Calibri" w:hAnsi="Calibri"/>
        <w:color w:val="002060"/>
        <w:sz w:val="28"/>
        <w:szCs w:val="28"/>
      </w:rPr>
    </w:pPr>
    <w:r w:rsidRPr="0033768F">
      <w:rPr>
        <w:rFonts w:ascii="Comic Sans MS" w:hAnsi="Comic Sans MS"/>
        <w:color w:val="002060"/>
        <w:sz w:val="28"/>
        <w:szCs w:val="28"/>
      </w:rPr>
      <w:t xml:space="preserve">           YEMİNLİ MALİ MÜŞAVİRLİK LTD.ŞTİ.</w:t>
    </w:r>
  </w:p>
  <w:p w14:paraId="67EE9245" w14:textId="77777777" w:rsidR="00965BC5" w:rsidRDefault="00965BC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8B91" w14:textId="77777777" w:rsidR="00965BC5" w:rsidRDefault="00965BC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05"/>
    <w:rsid w:val="00006B00"/>
    <w:rsid w:val="000638BD"/>
    <w:rsid w:val="000932B4"/>
    <w:rsid w:val="00093D8E"/>
    <w:rsid w:val="000D442A"/>
    <w:rsid w:val="00110E7B"/>
    <w:rsid w:val="001C7BF6"/>
    <w:rsid w:val="002D23E1"/>
    <w:rsid w:val="0036021E"/>
    <w:rsid w:val="00383AB3"/>
    <w:rsid w:val="003D6859"/>
    <w:rsid w:val="0047637B"/>
    <w:rsid w:val="004C1BA1"/>
    <w:rsid w:val="004D258E"/>
    <w:rsid w:val="00504F7D"/>
    <w:rsid w:val="005139E7"/>
    <w:rsid w:val="00532867"/>
    <w:rsid w:val="005442E0"/>
    <w:rsid w:val="005C4BE6"/>
    <w:rsid w:val="00747B69"/>
    <w:rsid w:val="00794D3A"/>
    <w:rsid w:val="00805505"/>
    <w:rsid w:val="008259AD"/>
    <w:rsid w:val="008521AB"/>
    <w:rsid w:val="00881F6D"/>
    <w:rsid w:val="00965BC5"/>
    <w:rsid w:val="009B6807"/>
    <w:rsid w:val="00A416F6"/>
    <w:rsid w:val="00A47488"/>
    <w:rsid w:val="00AA39D4"/>
    <w:rsid w:val="00AE73F7"/>
    <w:rsid w:val="00B62104"/>
    <w:rsid w:val="00B62308"/>
    <w:rsid w:val="00C070DD"/>
    <w:rsid w:val="00C23507"/>
    <w:rsid w:val="00D24F96"/>
    <w:rsid w:val="00DA7EA6"/>
    <w:rsid w:val="00E35DEA"/>
    <w:rsid w:val="00F558E2"/>
    <w:rsid w:val="00FB4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182B"/>
  <w15:chartTrackingRefBased/>
  <w15:docId w15:val="{A39FC7BD-59AB-42DD-8AEC-E9B74D70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505"/>
  </w:style>
  <w:style w:type="paragraph" w:styleId="Balk1">
    <w:name w:val="heading 1"/>
    <w:basedOn w:val="Normal"/>
    <w:next w:val="Normal"/>
    <w:link w:val="Balk1Char"/>
    <w:uiPriority w:val="9"/>
    <w:qFormat/>
    <w:rsid w:val="008055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055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0550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0550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0550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0550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0550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0550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0550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0550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0550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0550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0550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0550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0550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0550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0550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05505"/>
    <w:rPr>
      <w:rFonts w:eastAsiaTheme="majorEastAsia" w:cstheme="majorBidi"/>
      <w:color w:val="272727" w:themeColor="text1" w:themeTint="D8"/>
    </w:rPr>
  </w:style>
  <w:style w:type="paragraph" w:styleId="KonuBal">
    <w:name w:val="Title"/>
    <w:basedOn w:val="Normal"/>
    <w:next w:val="Normal"/>
    <w:link w:val="KonuBalChar"/>
    <w:uiPriority w:val="10"/>
    <w:qFormat/>
    <w:rsid w:val="00805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0550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0550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0550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0550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05505"/>
    <w:rPr>
      <w:i/>
      <w:iCs/>
      <w:color w:val="404040" w:themeColor="text1" w:themeTint="BF"/>
    </w:rPr>
  </w:style>
  <w:style w:type="paragraph" w:styleId="ListeParagraf">
    <w:name w:val="List Paragraph"/>
    <w:basedOn w:val="Normal"/>
    <w:uiPriority w:val="34"/>
    <w:qFormat/>
    <w:rsid w:val="00805505"/>
    <w:pPr>
      <w:ind w:left="720"/>
      <w:contextualSpacing/>
    </w:pPr>
  </w:style>
  <w:style w:type="character" w:styleId="GlVurgulama">
    <w:name w:val="Intense Emphasis"/>
    <w:basedOn w:val="VarsaylanParagrafYazTipi"/>
    <w:uiPriority w:val="21"/>
    <w:qFormat/>
    <w:rsid w:val="00805505"/>
    <w:rPr>
      <w:i/>
      <w:iCs/>
      <w:color w:val="2F5496" w:themeColor="accent1" w:themeShade="BF"/>
    </w:rPr>
  </w:style>
  <w:style w:type="paragraph" w:styleId="GlAlnt">
    <w:name w:val="Intense Quote"/>
    <w:basedOn w:val="Normal"/>
    <w:next w:val="Normal"/>
    <w:link w:val="GlAlntChar"/>
    <w:uiPriority w:val="30"/>
    <w:qFormat/>
    <w:rsid w:val="008055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05505"/>
    <w:rPr>
      <w:i/>
      <w:iCs/>
      <w:color w:val="2F5496" w:themeColor="accent1" w:themeShade="BF"/>
    </w:rPr>
  </w:style>
  <w:style w:type="character" w:styleId="GlBavuru">
    <w:name w:val="Intense Reference"/>
    <w:basedOn w:val="VarsaylanParagrafYazTipi"/>
    <w:uiPriority w:val="32"/>
    <w:qFormat/>
    <w:rsid w:val="00805505"/>
    <w:rPr>
      <w:b/>
      <w:bCs/>
      <w:smallCaps/>
      <w:color w:val="2F5496" w:themeColor="accent1" w:themeShade="BF"/>
      <w:spacing w:val="5"/>
    </w:rPr>
  </w:style>
  <w:style w:type="character" w:styleId="Kpr">
    <w:name w:val="Hyperlink"/>
    <w:basedOn w:val="VarsaylanParagrafYazTipi"/>
    <w:uiPriority w:val="99"/>
    <w:unhideWhenUsed/>
    <w:rsid w:val="00383AB3"/>
    <w:rPr>
      <w:color w:val="0563C1" w:themeColor="hyperlink"/>
      <w:u w:val="single"/>
    </w:rPr>
  </w:style>
  <w:style w:type="character" w:styleId="zmlenmeyenBahsetme">
    <w:name w:val="Unresolved Mention"/>
    <w:basedOn w:val="VarsaylanParagrafYazTipi"/>
    <w:uiPriority w:val="99"/>
    <w:semiHidden/>
    <w:unhideWhenUsed/>
    <w:rsid w:val="00383AB3"/>
    <w:rPr>
      <w:color w:val="605E5C"/>
      <w:shd w:val="clear" w:color="auto" w:fill="E1DFDD"/>
    </w:rPr>
  </w:style>
  <w:style w:type="paragraph" w:styleId="NormalWeb">
    <w:name w:val="Normal (Web)"/>
    <w:basedOn w:val="Normal"/>
    <w:uiPriority w:val="99"/>
    <w:semiHidden/>
    <w:unhideWhenUsed/>
    <w:rsid w:val="00AA39D4"/>
    <w:rPr>
      <w:rFonts w:ascii="Times New Roman" w:hAnsi="Times New Roman" w:cs="Times New Roman"/>
      <w:sz w:val="24"/>
      <w:szCs w:val="24"/>
    </w:rPr>
  </w:style>
  <w:style w:type="paragraph" w:styleId="stBilgi">
    <w:name w:val="header"/>
    <w:basedOn w:val="Normal"/>
    <w:link w:val="stBilgiChar"/>
    <w:uiPriority w:val="99"/>
    <w:unhideWhenUsed/>
    <w:rsid w:val="008521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21AB"/>
  </w:style>
  <w:style w:type="paragraph" w:styleId="AltBilgi">
    <w:name w:val="footer"/>
    <w:basedOn w:val="Normal"/>
    <w:link w:val="AltBilgiChar"/>
    <w:uiPriority w:val="99"/>
    <w:unhideWhenUsed/>
    <w:rsid w:val="008521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2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195">
      <w:bodyDiv w:val="1"/>
      <w:marLeft w:val="0"/>
      <w:marRight w:val="0"/>
      <w:marTop w:val="0"/>
      <w:marBottom w:val="0"/>
      <w:divBdr>
        <w:top w:val="none" w:sz="0" w:space="0" w:color="auto"/>
        <w:left w:val="none" w:sz="0" w:space="0" w:color="auto"/>
        <w:bottom w:val="none" w:sz="0" w:space="0" w:color="auto"/>
        <w:right w:val="none" w:sz="0" w:space="0" w:color="auto"/>
      </w:divBdr>
    </w:div>
    <w:div w:id="127630308">
      <w:bodyDiv w:val="1"/>
      <w:marLeft w:val="0"/>
      <w:marRight w:val="0"/>
      <w:marTop w:val="0"/>
      <w:marBottom w:val="0"/>
      <w:divBdr>
        <w:top w:val="none" w:sz="0" w:space="0" w:color="auto"/>
        <w:left w:val="none" w:sz="0" w:space="0" w:color="auto"/>
        <w:bottom w:val="none" w:sz="0" w:space="0" w:color="auto"/>
        <w:right w:val="none" w:sz="0" w:space="0" w:color="auto"/>
      </w:divBdr>
    </w:div>
    <w:div w:id="395737110">
      <w:bodyDiv w:val="1"/>
      <w:marLeft w:val="0"/>
      <w:marRight w:val="0"/>
      <w:marTop w:val="0"/>
      <w:marBottom w:val="0"/>
      <w:divBdr>
        <w:top w:val="none" w:sz="0" w:space="0" w:color="auto"/>
        <w:left w:val="none" w:sz="0" w:space="0" w:color="auto"/>
        <w:bottom w:val="none" w:sz="0" w:space="0" w:color="auto"/>
        <w:right w:val="none" w:sz="0" w:space="0" w:color="auto"/>
      </w:divBdr>
    </w:div>
    <w:div w:id="438261292">
      <w:bodyDiv w:val="1"/>
      <w:marLeft w:val="0"/>
      <w:marRight w:val="0"/>
      <w:marTop w:val="0"/>
      <w:marBottom w:val="0"/>
      <w:divBdr>
        <w:top w:val="none" w:sz="0" w:space="0" w:color="auto"/>
        <w:left w:val="none" w:sz="0" w:space="0" w:color="auto"/>
        <w:bottom w:val="none" w:sz="0" w:space="0" w:color="auto"/>
        <w:right w:val="none" w:sz="0" w:space="0" w:color="auto"/>
      </w:divBdr>
    </w:div>
    <w:div w:id="578904587">
      <w:bodyDiv w:val="1"/>
      <w:marLeft w:val="0"/>
      <w:marRight w:val="0"/>
      <w:marTop w:val="0"/>
      <w:marBottom w:val="0"/>
      <w:divBdr>
        <w:top w:val="none" w:sz="0" w:space="0" w:color="auto"/>
        <w:left w:val="none" w:sz="0" w:space="0" w:color="auto"/>
        <w:bottom w:val="none" w:sz="0" w:space="0" w:color="auto"/>
        <w:right w:val="none" w:sz="0" w:space="0" w:color="auto"/>
      </w:divBdr>
    </w:div>
    <w:div w:id="694426211">
      <w:bodyDiv w:val="1"/>
      <w:marLeft w:val="0"/>
      <w:marRight w:val="0"/>
      <w:marTop w:val="0"/>
      <w:marBottom w:val="0"/>
      <w:divBdr>
        <w:top w:val="none" w:sz="0" w:space="0" w:color="auto"/>
        <w:left w:val="none" w:sz="0" w:space="0" w:color="auto"/>
        <w:bottom w:val="none" w:sz="0" w:space="0" w:color="auto"/>
        <w:right w:val="none" w:sz="0" w:space="0" w:color="auto"/>
      </w:divBdr>
    </w:div>
    <w:div w:id="926689502">
      <w:bodyDiv w:val="1"/>
      <w:marLeft w:val="0"/>
      <w:marRight w:val="0"/>
      <w:marTop w:val="0"/>
      <w:marBottom w:val="0"/>
      <w:divBdr>
        <w:top w:val="none" w:sz="0" w:space="0" w:color="auto"/>
        <w:left w:val="none" w:sz="0" w:space="0" w:color="auto"/>
        <w:bottom w:val="none" w:sz="0" w:space="0" w:color="auto"/>
        <w:right w:val="none" w:sz="0" w:space="0" w:color="auto"/>
      </w:divBdr>
    </w:div>
    <w:div w:id="1079979684">
      <w:bodyDiv w:val="1"/>
      <w:marLeft w:val="0"/>
      <w:marRight w:val="0"/>
      <w:marTop w:val="0"/>
      <w:marBottom w:val="0"/>
      <w:divBdr>
        <w:top w:val="none" w:sz="0" w:space="0" w:color="auto"/>
        <w:left w:val="none" w:sz="0" w:space="0" w:color="auto"/>
        <w:bottom w:val="none" w:sz="0" w:space="0" w:color="auto"/>
        <w:right w:val="none" w:sz="0" w:space="0" w:color="auto"/>
      </w:divBdr>
    </w:div>
    <w:div w:id="1258172104">
      <w:bodyDiv w:val="1"/>
      <w:marLeft w:val="0"/>
      <w:marRight w:val="0"/>
      <w:marTop w:val="0"/>
      <w:marBottom w:val="0"/>
      <w:divBdr>
        <w:top w:val="none" w:sz="0" w:space="0" w:color="auto"/>
        <w:left w:val="none" w:sz="0" w:space="0" w:color="auto"/>
        <w:bottom w:val="none" w:sz="0" w:space="0" w:color="auto"/>
        <w:right w:val="none" w:sz="0" w:space="0" w:color="auto"/>
      </w:divBdr>
    </w:div>
    <w:div w:id="1390575333">
      <w:bodyDiv w:val="1"/>
      <w:marLeft w:val="0"/>
      <w:marRight w:val="0"/>
      <w:marTop w:val="0"/>
      <w:marBottom w:val="0"/>
      <w:divBdr>
        <w:top w:val="none" w:sz="0" w:space="0" w:color="auto"/>
        <w:left w:val="none" w:sz="0" w:space="0" w:color="auto"/>
        <w:bottom w:val="none" w:sz="0" w:space="0" w:color="auto"/>
        <w:right w:val="none" w:sz="0" w:space="0" w:color="auto"/>
      </w:divBdr>
    </w:div>
    <w:div w:id="1499493743">
      <w:bodyDiv w:val="1"/>
      <w:marLeft w:val="0"/>
      <w:marRight w:val="0"/>
      <w:marTop w:val="0"/>
      <w:marBottom w:val="0"/>
      <w:divBdr>
        <w:top w:val="none" w:sz="0" w:space="0" w:color="auto"/>
        <w:left w:val="none" w:sz="0" w:space="0" w:color="auto"/>
        <w:bottom w:val="none" w:sz="0" w:space="0" w:color="auto"/>
        <w:right w:val="none" w:sz="0" w:space="0" w:color="auto"/>
      </w:divBdr>
    </w:div>
    <w:div w:id="1558275457">
      <w:bodyDiv w:val="1"/>
      <w:marLeft w:val="0"/>
      <w:marRight w:val="0"/>
      <w:marTop w:val="0"/>
      <w:marBottom w:val="0"/>
      <w:divBdr>
        <w:top w:val="none" w:sz="0" w:space="0" w:color="auto"/>
        <w:left w:val="none" w:sz="0" w:space="0" w:color="auto"/>
        <w:bottom w:val="none" w:sz="0" w:space="0" w:color="auto"/>
        <w:right w:val="none" w:sz="0" w:space="0" w:color="auto"/>
      </w:divBdr>
    </w:div>
    <w:div w:id="1607351437">
      <w:bodyDiv w:val="1"/>
      <w:marLeft w:val="0"/>
      <w:marRight w:val="0"/>
      <w:marTop w:val="0"/>
      <w:marBottom w:val="0"/>
      <w:divBdr>
        <w:top w:val="none" w:sz="0" w:space="0" w:color="auto"/>
        <w:left w:val="none" w:sz="0" w:space="0" w:color="auto"/>
        <w:bottom w:val="none" w:sz="0" w:space="0" w:color="auto"/>
        <w:right w:val="none" w:sz="0" w:space="0" w:color="auto"/>
      </w:divBdr>
    </w:div>
    <w:div w:id="1909999880">
      <w:bodyDiv w:val="1"/>
      <w:marLeft w:val="0"/>
      <w:marRight w:val="0"/>
      <w:marTop w:val="0"/>
      <w:marBottom w:val="0"/>
      <w:divBdr>
        <w:top w:val="none" w:sz="0" w:space="0" w:color="auto"/>
        <w:left w:val="none" w:sz="0" w:space="0" w:color="auto"/>
        <w:bottom w:val="none" w:sz="0" w:space="0" w:color="auto"/>
        <w:right w:val="none" w:sz="0" w:space="0" w:color="auto"/>
      </w:divBdr>
    </w:div>
    <w:div w:id="1958486468">
      <w:bodyDiv w:val="1"/>
      <w:marLeft w:val="0"/>
      <w:marRight w:val="0"/>
      <w:marTop w:val="0"/>
      <w:marBottom w:val="0"/>
      <w:divBdr>
        <w:top w:val="none" w:sz="0" w:space="0" w:color="auto"/>
        <w:left w:val="none" w:sz="0" w:space="0" w:color="auto"/>
        <w:bottom w:val="none" w:sz="0" w:space="0" w:color="auto"/>
        <w:right w:val="none" w:sz="0" w:space="0" w:color="auto"/>
      </w:divBdr>
    </w:div>
    <w:div w:id="213320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alomaliye.com/2012/12/30/sermaye-piyasasi-kanunu-6362-sayili-kanu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omaliye.com/2002/04/09/kamu-finansmani-ve-borc-yonetiminin-duzenlenmesi-hakkinda-kanun-4749-sayili-kanu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1949</Words>
  <Characters>11110</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ATATAS</cp:lastModifiedBy>
  <cp:revision>21</cp:revision>
  <dcterms:created xsi:type="dcterms:W3CDTF">2025-02-02T08:29:00Z</dcterms:created>
  <dcterms:modified xsi:type="dcterms:W3CDTF">2025-02-03T11:30:00Z</dcterms:modified>
</cp:coreProperties>
</file>