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44C9" w14:textId="3E8D95D3" w:rsidR="008068B7" w:rsidRDefault="008068B7" w:rsidP="008068B7">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MAYIS-</w:t>
      </w:r>
      <w:r w:rsidR="00615A7F">
        <w:rPr>
          <w:b/>
          <w:bCs/>
          <w:sz w:val="32"/>
          <w:szCs w:val="32"/>
        </w:rPr>
        <w:t>2</w:t>
      </w:r>
    </w:p>
    <w:p w14:paraId="3E98FE30" w14:textId="2668AD1C" w:rsidR="00176FE1" w:rsidRDefault="00176FE1" w:rsidP="00176FE1">
      <w:pPr>
        <w:pStyle w:val="stBilgi"/>
        <w:jc w:val="center"/>
        <w:rPr>
          <w:b/>
          <w:bCs/>
        </w:rPr>
      </w:pPr>
      <w:r w:rsidRPr="00D32217">
        <w:rPr>
          <w:b/>
          <w:bCs/>
        </w:rPr>
        <w:t>(</w:t>
      </w:r>
      <w:r w:rsidR="008068B7">
        <w:rPr>
          <w:b/>
          <w:bCs/>
        </w:rPr>
        <w:t>13</w:t>
      </w:r>
      <w:r>
        <w:rPr>
          <w:b/>
          <w:bCs/>
        </w:rPr>
        <w:t>.</w:t>
      </w:r>
      <w:r w:rsidRPr="00D32217">
        <w:rPr>
          <w:b/>
          <w:bCs/>
        </w:rPr>
        <w:t>0</w:t>
      </w:r>
      <w:r>
        <w:rPr>
          <w:b/>
          <w:bCs/>
        </w:rPr>
        <w:t>5</w:t>
      </w:r>
      <w:r w:rsidRPr="00D32217">
        <w:rPr>
          <w:b/>
          <w:bCs/>
        </w:rPr>
        <w:t>.2025</w:t>
      </w:r>
      <w:r>
        <w:rPr>
          <w:b/>
          <w:bCs/>
        </w:rPr>
        <w:t>-</w:t>
      </w:r>
      <w:r w:rsidR="008068B7">
        <w:rPr>
          <w:b/>
          <w:bCs/>
        </w:rPr>
        <w:t>22</w:t>
      </w:r>
      <w:r>
        <w:rPr>
          <w:b/>
          <w:bCs/>
        </w:rPr>
        <w:t>.05.2025</w:t>
      </w:r>
      <w:r w:rsidRPr="00D32217">
        <w:rPr>
          <w:b/>
          <w:bCs/>
        </w:rPr>
        <w:t>)</w:t>
      </w:r>
    </w:p>
    <w:p w14:paraId="3DB76D7F" w14:textId="77777777" w:rsidR="00C23507" w:rsidRDefault="00C23507"/>
    <w:p w14:paraId="16C05CB1" w14:textId="1771B95F" w:rsidR="00044ED6" w:rsidRDefault="00044ED6" w:rsidP="00044ED6">
      <w:pPr>
        <w:jc w:val="both"/>
        <w:rPr>
          <w:b/>
          <w:bCs/>
          <w:sz w:val="26"/>
          <w:szCs w:val="26"/>
        </w:rPr>
      </w:pPr>
      <w:r>
        <w:rPr>
          <w:b/>
          <w:bCs/>
          <w:sz w:val="26"/>
          <w:szCs w:val="26"/>
        </w:rPr>
        <w:t xml:space="preserve">I- </w:t>
      </w:r>
      <w:r w:rsidRPr="00044ED6">
        <w:rPr>
          <w:b/>
          <w:bCs/>
          <w:sz w:val="26"/>
          <w:szCs w:val="26"/>
        </w:rPr>
        <w:t>VERGİ İNCELEMELERİNDE UYULACAK USUL VE ESASLAR HAKKINDA</w:t>
      </w:r>
      <w:r>
        <w:rPr>
          <w:b/>
          <w:bCs/>
          <w:sz w:val="26"/>
          <w:szCs w:val="26"/>
        </w:rPr>
        <w:t xml:space="preserve"> </w:t>
      </w:r>
      <w:r w:rsidRPr="00044ED6">
        <w:rPr>
          <w:b/>
          <w:bCs/>
          <w:sz w:val="26"/>
          <w:szCs w:val="26"/>
        </w:rPr>
        <w:t>YÖNETMELİKTE DEĞİŞİKLİK YAPILMASINA DAİR YÖNETMELİK</w:t>
      </w:r>
      <w:r>
        <w:rPr>
          <w:b/>
          <w:bCs/>
          <w:sz w:val="26"/>
          <w:szCs w:val="26"/>
        </w:rPr>
        <w:t xml:space="preserve"> YAYIMLANMIŞTIR</w:t>
      </w:r>
    </w:p>
    <w:p w14:paraId="762E8DFE" w14:textId="24DA77AB" w:rsidR="00044ED6" w:rsidRDefault="00044ED6" w:rsidP="00044ED6">
      <w:pPr>
        <w:jc w:val="both"/>
      </w:pPr>
      <w:r w:rsidRPr="00044ED6">
        <w:t xml:space="preserve">13 Mayıs 2025 tarihli ve 32899 sayılı </w:t>
      </w:r>
      <w:proofErr w:type="gramStart"/>
      <w:r w:rsidRPr="00044ED6">
        <w:t>Resmi</w:t>
      </w:r>
      <w:proofErr w:type="gramEnd"/>
      <w:r w:rsidRPr="00044ED6">
        <w:t xml:space="preserve"> </w:t>
      </w:r>
      <w:proofErr w:type="spellStart"/>
      <w:r w:rsidRPr="00044ED6">
        <w:t>Gazete’de</w:t>
      </w:r>
      <w:proofErr w:type="spellEnd"/>
      <w:r w:rsidRPr="00044ED6">
        <w:t xml:space="preserve"> yayımlanan Vergi İncelemelerinde Uyulacak Usul </w:t>
      </w:r>
      <w:r>
        <w:t>v</w:t>
      </w:r>
      <w:r w:rsidRPr="00044ED6">
        <w:t>e Esaslar Hakkında</w:t>
      </w:r>
      <w:r>
        <w:t xml:space="preserve"> </w:t>
      </w:r>
      <w:r w:rsidRPr="00044ED6">
        <w:t>Yönetmelikte Değişiklik Yapılmasına Dair Yönetmelik</w:t>
      </w:r>
      <w:r>
        <w:t xml:space="preserve"> ile vergi incelemesinde tutanak düzenlenmesinde ve belge ibrazında elektronik imza kullanımına dair düzenlemeler yapılmıştır. Vergi Uygulamalarında Uyulacak Usul ve Esaslar Hakkında Yönetmelikte yapılan düzenlemeler maddeleri ile birlikte aşağıdaki gibidir:</w:t>
      </w:r>
    </w:p>
    <w:p w14:paraId="1A7239D8" w14:textId="2FDA593D" w:rsidR="00044ED6" w:rsidRPr="00044ED6" w:rsidRDefault="00044ED6" w:rsidP="00044ED6">
      <w:pPr>
        <w:shd w:val="clear" w:color="auto" w:fill="F2F2F2" w:themeFill="background1" w:themeFillShade="F2"/>
        <w:jc w:val="both"/>
        <w:rPr>
          <w:i/>
          <w:iCs/>
          <w:sz w:val="20"/>
          <w:szCs w:val="20"/>
        </w:rPr>
      </w:pPr>
      <w:r w:rsidRPr="00044ED6">
        <w:rPr>
          <w:i/>
          <w:iCs/>
          <w:sz w:val="20"/>
          <w:szCs w:val="20"/>
        </w:rPr>
        <w:t>“</w:t>
      </w:r>
      <w:r w:rsidRPr="00044ED6">
        <w:rPr>
          <w:b/>
          <w:bCs/>
          <w:i/>
          <w:iCs/>
          <w:sz w:val="20"/>
          <w:szCs w:val="20"/>
        </w:rPr>
        <w:t>MADDE 1-</w:t>
      </w:r>
      <w:r w:rsidRPr="00044ED6">
        <w:rPr>
          <w:i/>
          <w:iCs/>
          <w:sz w:val="20"/>
          <w:szCs w:val="20"/>
        </w:rPr>
        <w:t xml:space="preserve"> 31/10/2011 tarihli ve 28101 sayılı Resmî </w:t>
      </w:r>
      <w:proofErr w:type="spellStart"/>
      <w:r w:rsidRPr="00044ED6">
        <w:rPr>
          <w:i/>
          <w:iCs/>
          <w:sz w:val="20"/>
          <w:szCs w:val="20"/>
        </w:rPr>
        <w:t>Gazete’de</w:t>
      </w:r>
      <w:proofErr w:type="spellEnd"/>
      <w:r w:rsidRPr="00044ED6">
        <w:rPr>
          <w:i/>
          <w:iCs/>
          <w:sz w:val="20"/>
          <w:szCs w:val="20"/>
        </w:rPr>
        <w:t xml:space="preserve"> yayımlanan Vergi İncelemelerinde Uyulacak Usul ve Esaslar Hakkında Yönetmeliğin 3’üncü maddesinin birinci fıkrasına aşağıdaki bentler eklenmiştir.</w:t>
      </w:r>
    </w:p>
    <w:p w14:paraId="2B21CCDE" w14:textId="77777777" w:rsidR="00044ED6" w:rsidRPr="00044ED6" w:rsidRDefault="00044ED6" w:rsidP="00044ED6">
      <w:pPr>
        <w:shd w:val="clear" w:color="auto" w:fill="F2F2F2" w:themeFill="background1" w:themeFillShade="F2"/>
        <w:jc w:val="both"/>
        <w:rPr>
          <w:i/>
          <w:iCs/>
          <w:sz w:val="20"/>
          <w:szCs w:val="20"/>
        </w:rPr>
      </w:pPr>
      <w:r w:rsidRPr="00044ED6">
        <w:rPr>
          <w:i/>
          <w:iCs/>
          <w:sz w:val="20"/>
          <w:szCs w:val="20"/>
        </w:rPr>
        <w:t>“</w:t>
      </w:r>
      <w:proofErr w:type="gramStart"/>
      <w:r w:rsidRPr="00044ED6">
        <w:rPr>
          <w:i/>
          <w:iCs/>
          <w:sz w:val="20"/>
          <w:szCs w:val="20"/>
        </w:rPr>
        <w:t>i</w:t>
      </w:r>
      <w:proofErr w:type="gramEnd"/>
      <w:r w:rsidRPr="00044ED6">
        <w:rPr>
          <w:i/>
          <w:iCs/>
          <w:sz w:val="20"/>
          <w:szCs w:val="20"/>
        </w:rPr>
        <w:t>) Elektronik sistem araçları: Defter ve belgelerin ibraz edilmesi, tutanakların düzenlenmesi, görüntülü ve sesli görüşme sağlanması gibi vergi incelemelerine ilişkin işlemlerin elektronik ortamda yürütülmesini sağlamak üzere Bakanlık tarafından oluşturulan her türlü elektronik sistemi,</w:t>
      </w:r>
    </w:p>
    <w:p w14:paraId="4ABD195E" w14:textId="25718232" w:rsidR="00044ED6" w:rsidRPr="00044ED6" w:rsidRDefault="00044ED6" w:rsidP="00044ED6">
      <w:pPr>
        <w:shd w:val="clear" w:color="auto" w:fill="F2F2F2" w:themeFill="background1" w:themeFillShade="F2"/>
        <w:jc w:val="both"/>
        <w:rPr>
          <w:i/>
          <w:iCs/>
          <w:sz w:val="20"/>
          <w:szCs w:val="20"/>
        </w:rPr>
      </w:pPr>
      <w:r w:rsidRPr="00044ED6">
        <w:rPr>
          <w:i/>
          <w:iCs/>
          <w:sz w:val="20"/>
          <w:szCs w:val="20"/>
        </w:rPr>
        <w:t>j) Güvenli elektronik imza: 15/1/2004 tarihli ve 5070 sayılı Elektronik İmza Kanunu</w:t>
      </w:r>
      <w:r>
        <w:rPr>
          <w:i/>
          <w:iCs/>
          <w:sz w:val="20"/>
          <w:szCs w:val="20"/>
        </w:rPr>
        <w:t>’</w:t>
      </w:r>
      <w:r w:rsidRPr="00044ED6">
        <w:rPr>
          <w:i/>
          <w:iCs/>
          <w:sz w:val="20"/>
          <w:szCs w:val="20"/>
        </w:rPr>
        <w:t>nun 4’üncü maddesinde niteliklerine yer verilen elektronik imzayı,”</w:t>
      </w:r>
    </w:p>
    <w:p w14:paraId="5383183E" w14:textId="347EB6DC" w:rsidR="00044ED6" w:rsidRPr="00044ED6" w:rsidRDefault="00044ED6" w:rsidP="00044ED6">
      <w:pPr>
        <w:shd w:val="clear" w:color="auto" w:fill="F2F2F2" w:themeFill="background1" w:themeFillShade="F2"/>
        <w:jc w:val="both"/>
        <w:rPr>
          <w:i/>
          <w:iCs/>
          <w:sz w:val="20"/>
          <w:szCs w:val="20"/>
        </w:rPr>
      </w:pPr>
      <w:r w:rsidRPr="00044ED6">
        <w:rPr>
          <w:b/>
          <w:bCs/>
          <w:i/>
          <w:iCs/>
          <w:sz w:val="20"/>
          <w:szCs w:val="20"/>
        </w:rPr>
        <w:t>MADDE 2-</w:t>
      </w:r>
      <w:r w:rsidRPr="00044ED6">
        <w:rPr>
          <w:i/>
          <w:iCs/>
          <w:sz w:val="20"/>
          <w:szCs w:val="20"/>
        </w:rPr>
        <w:t> Aynı Yönetmeliğin 4’üncü maddesine aşağıdaki fıkra eklenmiştir.</w:t>
      </w:r>
    </w:p>
    <w:p w14:paraId="6745EE58" w14:textId="77777777" w:rsidR="00044ED6" w:rsidRPr="00044ED6" w:rsidRDefault="00044ED6" w:rsidP="00044ED6">
      <w:pPr>
        <w:shd w:val="clear" w:color="auto" w:fill="F2F2F2" w:themeFill="background1" w:themeFillShade="F2"/>
        <w:jc w:val="both"/>
        <w:rPr>
          <w:i/>
          <w:iCs/>
          <w:sz w:val="20"/>
          <w:szCs w:val="20"/>
        </w:rPr>
      </w:pPr>
      <w:r w:rsidRPr="00044ED6">
        <w:rPr>
          <w:i/>
          <w:iCs/>
          <w:sz w:val="20"/>
          <w:szCs w:val="20"/>
        </w:rPr>
        <w:t>“(3) Vergi inceleme sürecinde, Bakanlık tarafından oluşturulan elektronik sistem araçları kullanılabilir.”</w:t>
      </w:r>
    </w:p>
    <w:p w14:paraId="00D58E6C" w14:textId="075B8776" w:rsidR="00044ED6" w:rsidRPr="00044ED6" w:rsidRDefault="00044ED6" w:rsidP="00044ED6">
      <w:pPr>
        <w:shd w:val="clear" w:color="auto" w:fill="F2F2F2" w:themeFill="background1" w:themeFillShade="F2"/>
        <w:jc w:val="both"/>
        <w:rPr>
          <w:i/>
          <w:iCs/>
          <w:sz w:val="20"/>
          <w:szCs w:val="20"/>
        </w:rPr>
      </w:pPr>
      <w:r w:rsidRPr="00044ED6">
        <w:rPr>
          <w:b/>
          <w:bCs/>
          <w:i/>
          <w:iCs/>
          <w:sz w:val="20"/>
          <w:szCs w:val="20"/>
        </w:rPr>
        <w:t>MADDE 3-</w:t>
      </w:r>
      <w:r w:rsidRPr="00044ED6">
        <w:rPr>
          <w:i/>
          <w:iCs/>
          <w:sz w:val="20"/>
          <w:szCs w:val="20"/>
        </w:rPr>
        <w:t> Aynı Yönetmeliğin 12’nci maddesinin dördüncü fıkrasına aşağıdaki cümle eklenmiştir.</w:t>
      </w:r>
    </w:p>
    <w:p w14:paraId="1BC580A8" w14:textId="77777777" w:rsidR="00044ED6" w:rsidRPr="00044ED6" w:rsidRDefault="00044ED6" w:rsidP="00044ED6">
      <w:pPr>
        <w:shd w:val="clear" w:color="auto" w:fill="F2F2F2" w:themeFill="background1" w:themeFillShade="F2"/>
        <w:jc w:val="both"/>
        <w:rPr>
          <w:i/>
          <w:iCs/>
          <w:sz w:val="20"/>
          <w:szCs w:val="20"/>
        </w:rPr>
      </w:pPr>
      <w:r w:rsidRPr="00044ED6">
        <w:rPr>
          <w:i/>
          <w:iCs/>
          <w:sz w:val="20"/>
          <w:szCs w:val="20"/>
        </w:rPr>
        <w:t>“Defter ve belgelerin elektronik ortamda ibrazı üzerine sistem tarafından ibraz durumunu gösteren bir belge üretilir ve söz konusu belgeyi mükellef veya mükellef tarafından defter ve belgelerin ibrazı için vekâlet verilenler güvenli elektronik imza ile imzalar.”</w:t>
      </w:r>
    </w:p>
    <w:p w14:paraId="02E56216" w14:textId="1EFC07B0" w:rsidR="00044ED6" w:rsidRPr="00044ED6" w:rsidRDefault="00044ED6" w:rsidP="00044ED6">
      <w:pPr>
        <w:shd w:val="clear" w:color="auto" w:fill="F2F2F2" w:themeFill="background1" w:themeFillShade="F2"/>
        <w:jc w:val="both"/>
        <w:rPr>
          <w:i/>
          <w:iCs/>
          <w:sz w:val="20"/>
          <w:szCs w:val="20"/>
        </w:rPr>
      </w:pPr>
      <w:r w:rsidRPr="00044ED6">
        <w:rPr>
          <w:b/>
          <w:bCs/>
          <w:i/>
          <w:iCs/>
          <w:sz w:val="20"/>
          <w:szCs w:val="20"/>
        </w:rPr>
        <w:t>MADDE 4-</w:t>
      </w:r>
      <w:r w:rsidRPr="00044ED6">
        <w:rPr>
          <w:i/>
          <w:iCs/>
          <w:sz w:val="20"/>
          <w:szCs w:val="20"/>
        </w:rPr>
        <w:t> Aynı Yönetmeliğin 16’ncı maddesine ikinci fıkrasından sonra gelmek üzere aşağıdaki fıkra eklenmiş ve diğer fıkralar buna göre teselsül ettirilmiş, mevcut üçüncü fıkrasına aşağıdaki cümle eklenmiştir.</w:t>
      </w:r>
    </w:p>
    <w:p w14:paraId="34F095AF" w14:textId="77777777" w:rsidR="00044ED6" w:rsidRPr="00044ED6" w:rsidRDefault="00044ED6" w:rsidP="00044ED6">
      <w:pPr>
        <w:shd w:val="clear" w:color="auto" w:fill="F2F2F2" w:themeFill="background1" w:themeFillShade="F2"/>
        <w:jc w:val="both"/>
        <w:rPr>
          <w:i/>
          <w:iCs/>
          <w:sz w:val="20"/>
          <w:szCs w:val="20"/>
        </w:rPr>
      </w:pPr>
      <w:r w:rsidRPr="00044ED6">
        <w:rPr>
          <w:i/>
          <w:iCs/>
          <w:sz w:val="20"/>
          <w:szCs w:val="20"/>
        </w:rPr>
        <w:t>“(3) İnceleme tutanakları, Bakanlık tarafından oluşturulan sistem aracılığıyla elektronik ortamda düzenlenebilir. İnceleme tutanaklarının Bakanlık tarafından oluşturulan sistem aracılığıyla elektronik ortamda düzenlendiği durumlarda, mükellef veya mükellef tarafından inceleme tutanaklarını imzalamak üzere vekâlet verilenler, söz konusu tutanakları güvenli elektronik imza ile imzalar.”</w:t>
      </w:r>
    </w:p>
    <w:p w14:paraId="0CAB38CD" w14:textId="77777777" w:rsidR="00044ED6" w:rsidRPr="00044ED6" w:rsidRDefault="00044ED6" w:rsidP="00044ED6">
      <w:pPr>
        <w:shd w:val="clear" w:color="auto" w:fill="F2F2F2" w:themeFill="background1" w:themeFillShade="F2"/>
        <w:jc w:val="both"/>
        <w:rPr>
          <w:i/>
          <w:iCs/>
          <w:sz w:val="20"/>
          <w:szCs w:val="20"/>
        </w:rPr>
      </w:pPr>
      <w:r w:rsidRPr="00044ED6">
        <w:rPr>
          <w:i/>
          <w:iCs/>
          <w:sz w:val="20"/>
          <w:szCs w:val="20"/>
        </w:rPr>
        <w:t>“Bu fıkranın uygulanmasında üçüncü fıkra hükmü saklıdır.”</w:t>
      </w:r>
    </w:p>
    <w:p w14:paraId="1FAED79F" w14:textId="51BD19F0" w:rsidR="00044ED6" w:rsidRPr="00044ED6" w:rsidRDefault="00044ED6" w:rsidP="00044ED6">
      <w:pPr>
        <w:shd w:val="clear" w:color="auto" w:fill="F2F2F2" w:themeFill="background1" w:themeFillShade="F2"/>
        <w:jc w:val="both"/>
        <w:rPr>
          <w:i/>
          <w:iCs/>
          <w:sz w:val="20"/>
          <w:szCs w:val="20"/>
        </w:rPr>
      </w:pPr>
      <w:r w:rsidRPr="00044ED6">
        <w:rPr>
          <w:b/>
          <w:bCs/>
          <w:i/>
          <w:iCs/>
          <w:sz w:val="20"/>
          <w:szCs w:val="20"/>
        </w:rPr>
        <w:t>MADDE 5-</w:t>
      </w:r>
      <w:r w:rsidRPr="00044ED6">
        <w:rPr>
          <w:i/>
          <w:iCs/>
          <w:sz w:val="20"/>
          <w:szCs w:val="20"/>
        </w:rPr>
        <w:t> Aynı Yönetmeliğin 17’nci maddesinin birinci fıkrasının (a) bendi aşağıdaki şekilde değiştirilmiştir.</w:t>
      </w:r>
    </w:p>
    <w:p w14:paraId="1192A101" w14:textId="64A451B5" w:rsidR="00044ED6" w:rsidRPr="00044ED6" w:rsidRDefault="00044ED6" w:rsidP="00044ED6">
      <w:pPr>
        <w:shd w:val="clear" w:color="auto" w:fill="F2F2F2" w:themeFill="background1" w:themeFillShade="F2"/>
        <w:jc w:val="both"/>
        <w:rPr>
          <w:i/>
          <w:iCs/>
          <w:sz w:val="20"/>
          <w:szCs w:val="20"/>
        </w:rPr>
      </w:pPr>
      <w:r w:rsidRPr="00044ED6">
        <w:rPr>
          <w:i/>
          <w:iCs/>
          <w:sz w:val="20"/>
          <w:szCs w:val="20"/>
        </w:rPr>
        <w:t>“</w:t>
      </w:r>
      <w:proofErr w:type="gramStart"/>
      <w:r w:rsidRPr="00044ED6">
        <w:rPr>
          <w:i/>
          <w:iCs/>
          <w:sz w:val="20"/>
          <w:szCs w:val="20"/>
        </w:rPr>
        <w:t>a</w:t>
      </w:r>
      <w:proofErr w:type="gramEnd"/>
      <w:r w:rsidRPr="00044ED6">
        <w:rPr>
          <w:i/>
          <w:iCs/>
          <w:sz w:val="20"/>
          <w:szCs w:val="20"/>
        </w:rPr>
        <w:t>) Tutanağın düzenlenme yeri ve tarihi (Bakanlık tarafından oluşturulan sistem aracılığıyla elektronik ortamda düzenlenen tutanaklarda, tutanağın düzenlenme yeri elektronik ortam olarak kabul edilir</w:t>
      </w:r>
      <w:proofErr w:type="gramStart"/>
      <w:r w:rsidRPr="00044ED6">
        <w:rPr>
          <w:i/>
          <w:iCs/>
          <w:sz w:val="20"/>
          <w:szCs w:val="20"/>
        </w:rPr>
        <w:t>.)</w:t>
      </w:r>
      <w:r>
        <w:rPr>
          <w:i/>
          <w:iCs/>
          <w:sz w:val="20"/>
          <w:szCs w:val="20"/>
        </w:rPr>
        <w:t>…</w:t>
      </w:r>
      <w:proofErr w:type="gramEnd"/>
      <w:r w:rsidRPr="00044ED6">
        <w:rPr>
          <w:i/>
          <w:iCs/>
          <w:sz w:val="20"/>
          <w:szCs w:val="20"/>
        </w:rPr>
        <w:t>”</w:t>
      </w:r>
    </w:p>
    <w:p w14:paraId="58F2861A" w14:textId="19FDB99E" w:rsidR="00044ED6" w:rsidRPr="00044ED6" w:rsidRDefault="00044ED6" w:rsidP="00044ED6">
      <w:pPr>
        <w:jc w:val="both"/>
      </w:pPr>
      <w:r>
        <w:t>Söz konusu değişiklikler yayımı tarihinde yürürlüğe girmiştir.</w:t>
      </w:r>
    </w:p>
    <w:p w14:paraId="2ABE9584" w14:textId="5AA5E37B" w:rsidR="00044ED6" w:rsidRPr="00044ED6" w:rsidRDefault="00044ED6" w:rsidP="00044ED6">
      <w:pPr>
        <w:jc w:val="both"/>
      </w:pPr>
    </w:p>
    <w:p w14:paraId="577A5969" w14:textId="730A4B6C" w:rsidR="00044ED6" w:rsidRPr="00044ED6" w:rsidRDefault="00044ED6" w:rsidP="00044ED6">
      <w:pPr>
        <w:jc w:val="both"/>
      </w:pPr>
    </w:p>
    <w:p w14:paraId="25AE90E6" w14:textId="6CB0BD4D" w:rsidR="00044ED6" w:rsidRDefault="00044ED6">
      <w:pPr>
        <w:rPr>
          <w:b/>
          <w:bCs/>
          <w:sz w:val="26"/>
          <w:szCs w:val="26"/>
        </w:rPr>
      </w:pPr>
    </w:p>
    <w:p w14:paraId="66C2DC18" w14:textId="77777777" w:rsidR="00044ED6" w:rsidRDefault="00044ED6">
      <w:pPr>
        <w:rPr>
          <w:b/>
          <w:bCs/>
          <w:sz w:val="26"/>
          <w:szCs w:val="26"/>
        </w:rPr>
      </w:pPr>
    </w:p>
    <w:p w14:paraId="25B08BC7" w14:textId="34F99B2D" w:rsidR="00176FE1" w:rsidRPr="00176FE1" w:rsidRDefault="00044ED6">
      <w:pPr>
        <w:rPr>
          <w:b/>
          <w:bCs/>
          <w:sz w:val="26"/>
          <w:szCs w:val="26"/>
        </w:rPr>
      </w:pPr>
      <w:r>
        <w:rPr>
          <w:b/>
          <w:bCs/>
          <w:sz w:val="26"/>
          <w:szCs w:val="26"/>
        </w:rPr>
        <w:t>I</w:t>
      </w:r>
      <w:r w:rsidR="00176FE1" w:rsidRPr="00176FE1">
        <w:rPr>
          <w:b/>
          <w:bCs/>
          <w:sz w:val="26"/>
          <w:szCs w:val="26"/>
        </w:rPr>
        <w:t>I- BOBİ FRS BÜYÜK İŞLETMEYE İLİŞKİN DEĞİŞİKLİK YAYIMLANMIŞTIR</w:t>
      </w:r>
    </w:p>
    <w:p w14:paraId="4977739D" w14:textId="07758AE1" w:rsidR="00176FE1" w:rsidRDefault="00176FE1" w:rsidP="00A6360A">
      <w:pPr>
        <w:jc w:val="both"/>
      </w:pPr>
      <w:r>
        <w:t xml:space="preserve">22 Mayıs 2025 tarihli ve 32907 </w:t>
      </w:r>
      <w:proofErr w:type="gramStart"/>
      <w:r>
        <w:t>Resmi</w:t>
      </w:r>
      <w:proofErr w:type="gramEnd"/>
      <w:r>
        <w:t xml:space="preserve"> </w:t>
      </w:r>
      <w:proofErr w:type="spellStart"/>
      <w:r>
        <w:t>Gazete’de</w:t>
      </w:r>
      <w:proofErr w:type="spellEnd"/>
      <w:r>
        <w:t xml:space="preserve"> yayımlanan Kamu Gözetimi, </w:t>
      </w:r>
      <w:proofErr w:type="spellStart"/>
      <w:r>
        <w:t>Muhadebe</w:t>
      </w:r>
      <w:proofErr w:type="spellEnd"/>
      <w:r>
        <w:t xml:space="preserve"> ve Denetim Standartları Kurumu Kurul Kararı ile </w:t>
      </w:r>
      <w:r w:rsidRPr="00176FE1">
        <w:t xml:space="preserve">Büyük </w:t>
      </w:r>
      <w:r>
        <w:t>v</w:t>
      </w:r>
      <w:r w:rsidRPr="00176FE1">
        <w:t xml:space="preserve">e Orta Boy İşletmeler İçin Finansal Raporlama </w:t>
      </w:r>
      <w:proofErr w:type="spellStart"/>
      <w:proofErr w:type="gramStart"/>
      <w:r w:rsidRPr="00176FE1">
        <w:t>Standardı</w:t>
      </w:r>
      <w:r>
        <w:t>‘</w:t>
      </w:r>
      <w:proofErr w:type="gramEnd"/>
      <w:r>
        <w:t>nın</w:t>
      </w:r>
      <w:proofErr w:type="spellEnd"/>
      <w:r>
        <w:t xml:space="preserve"> 5. maddesinin 1. fıkrasında yer alan BOBİ FRS Büyük İşletme kriterleri değiştirilmiştir. </w:t>
      </w:r>
    </w:p>
    <w:p w14:paraId="1590FA9A" w14:textId="7D97A239" w:rsidR="00176FE1" w:rsidRPr="00176FE1" w:rsidRDefault="00176FE1" w:rsidP="00176FE1">
      <w:pPr>
        <w:shd w:val="clear" w:color="auto" w:fill="F2F2F2" w:themeFill="background1" w:themeFillShade="F2"/>
        <w:jc w:val="both"/>
        <w:rPr>
          <w:i/>
          <w:iCs/>
          <w:sz w:val="20"/>
          <w:szCs w:val="20"/>
        </w:rPr>
      </w:pPr>
      <w:r w:rsidRPr="00176FE1">
        <w:rPr>
          <w:i/>
          <w:iCs/>
          <w:sz w:val="20"/>
          <w:szCs w:val="20"/>
        </w:rPr>
        <w:t xml:space="preserve">“(1) BOBİ </w:t>
      </w:r>
      <w:proofErr w:type="spellStart"/>
      <w:r w:rsidRPr="00176FE1">
        <w:rPr>
          <w:i/>
          <w:iCs/>
          <w:sz w:val="20"/>
          <w:szCs w:val="20"/>
        </w:rPr>
        <w:t>FRS’nin</w:t>
      </w:r>
      <w:proofErr w:type="spellEnd"/>
      <w:r w:rsidRPr="00176FE1">
        <w:rPr>
          <w:i/>
          <w:iCs/>
          <w:sz w:val="20"/>
          <w:szCs w:val="20"/>
        </w:rPr>
        <w:t xml:space="preserve"> uygulanması açısından, aşağıdaki üç ölçütten en az ikisinin eşik değerlerini, varsa bağlı ortaklıkları ve iştirakleriyle birlikte, art arda iki raporlama döneminde aşan işletmeler müteakip raporlama döneminde büyük işletme olarak değerlendirilir:</w:t>
      </w:r>
    </w:p>
    <w:p w14:paraId="6B9B0020" w14:textId="7BD69D4C" w:rsidR="00176FE1" w:rsidRPr="00176FE1" w:rsidRDefault="00176FE1" w:rsidP="00176FE1">
      <w:pPr>
        <w:shd w:val="clear" w:color="auto" w:fill="F2F2F2" w:themeFill="background1" w:themeFillShade="F2"/>
        <w:jc w:val="both"/>
        <w:rPr>
          <w:i/>
          <w:iCs/>
          <w:sz w:val="20"/>
          <w:szCs w:val="20"/>
        </w:rPr>
      </w:pPr>
      <w:r w:rsidRPr="00176FE1">
        <w:rPr>
          <w:i/>
          <w:iCs/>
          <w:sz w:val="20"/>
          <w:szCs w:val="20"/>
        </w:rPr>
        <w:t xml:space="preserve">a) Aktif toplamı 800 milyon ve üstü Türk Lirası. </w:t>
      </w:r>
    </w:p>
    <w:p w14:paraId="7E283066" w14:textId="25895C1A" w:rsidR="00176FE1" w:rsidRPr="00176FE1" w:rsidRDefault="00176FE1" w:rsidP="00176FE1">
      <w:pPr>
        <w:shd w:val="clear" w:color="auto" w:fill="F2F2F2" w:themeFill="background1" w:themeFillShade="F2"/>
        <w:jc w:val="both"/>
        <w:rPr>
          <w:i/>
          <w:iCs/>
          <w:sz w:val="20"/>
          <w:szCs w:val="20"/>
        </w:rPr>
      </w:pPr>
      <w:r w:rsidRPr="00176FE1">
        <w:rPr>
          <w:i/>
          <w:iCs/>
          <w:sz w:val="20"/>
          <w:szCs w:val="20"/>
        </w:rPr>
        <w:t xml:space="preserve">b) Yıllık net satış hasılatı 1 milyar 600 milyon ve üstü Türk Lirası. </w:t>
      </w:r>
    </w:p>
    <w:p w14:paraId="44A46BBC" w14:textId="633DA42F" w:rsidR="00176FE1" w:rsidRDefault="00176FE1" w:rsidP="00176FE1">
      <w:pPr>
        <w:shd w:val="clear" w:color="auto" w:fill="F2F2F2" w:themeFill="background1" w:themeFillShade="F2"/>
        <w:jc w:val="both"/>
        <w:rPr>
          <w:i/>
          <w:iCs/>
          <w:sz w:val="20"/>
          <w:szCs w:val="20"/>
        </w:rPr>
      </w:pPr>
      <w:r w:rsidRPr="00176FE1">
        <w:rPr>
          <w:i/>
          <w:iCs/>
          <w:sz w:val="20"/>
          <w:szCs w:val="20"/>
        </w:rPr>
        <w:t>…”</w:t>
      </w:r>
    </w:p>
    <w:p w14:paraId="3A0F58A7" w14:textId="30F1AAB3" w:rsidR="00176FE1" w:rsidRDefault="00176FE1" w:rsidP="00176FE1">
      <w:pPr>
        <w:shd w:val="clear" w:color="auto" w:fill="FFFFFF" w:themeFill="background1"/>
        <w:jc w:val="both"/>
      </w:pPr>
      <w:r>
        <w:t>Daha önceki rakamlar sırasıyla 400 milyon TL ve 800 milyon TL’ydi.</w:t>
      </w:r>
    </w:p>
    <w:p w14:paraId="229169C4" w14:textId="2D03BB39" w:rsidR="00D53647" w:rsidRDefault="00D53647" w:rsidP="00176FE1">
      <w:pPr>
        <w:shd w:val="clear" w:color="auto" w:fill="FFFFFF" w:themeFill="background1"/>
        <w:jc w:val="both"/>
      </w:pPr>
      <w:r>
        <w:t>Yapılan değişiklikler, 01.01.2025 tarihinde veya sonrasında başlayan hesap dönemlerinde geçerli olmak üzere yayımı tarihinde yürürlüğe girmiştir.</w:t>
      </w:r>
    </w:p>
    <w:p w14:paraId="07608EDB" w14:textId="77777777" w:rsidR="00176FE1" w:rsidRDefault="00176FE1" w:rsidP="0041439A">
      <w:pPr>
        <w:shd w:val="clear" w:color="auto" w:fill="FFFFFF" w:themeFill="background1"/>
        <w:jc w:val="right"/>
      </w:pPr>
    </w:p>
    <w:sectPr w:rsidR="00176FE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C865" w14:textId="77777777" w:rsidR="00C07E52" w:rsidRDefault="00C07E52" w:rsidP="0073113C">
      <w:pPr>
        <w:spacing w:after="0" w:line="240" w:lineRule="auto"/>
      </w:pPr>
      <w:r>
        <w:separator/>
      </w:r>
    </w:p>
  </w:endnote>
  <w:endnote w:type="continuationSeparator" w:id="0">
    <w:p w14:paraId="6C752557" w14:textId="77777777" w:rsidR="00C07E52" w:rsidRDefault="00C07E52" w:rsidP="0073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79620"/>
      <w:docPartObj>
        <w:docPartGallery w:val="Page Numbers (Bottom of Page)"/>
        <w:docPartUnique/>
      </w:docPartObj>
    </w:sdtPr>
    <w:sdtEndPr/>
    <w:sdtContent>
      <w:p w14:paraId="7C8C3B3A" w14:textId="01C2655A" w:rsidR="0073113C" w:rsidRDefault="0073113C">
        <w:pPr>
          <w:pStyle w:val="AltBilgi"/>
          <w:jc w:val="right"/>
        </w:pPr>
        <w:r>
          <w:fldChar w:fldCharType="begin"/>
        </w:r>
        <w:r>
          <w:instrText>PAGE   \* MERGEFORMAT</w:instrText>
        </w:r>
        <w:r>
          <w:fldChar w:fldCharType="separate"/>
        </w:r>
        <w:r>
          <w:t>2</w:t>
        </w:r>
        <w:r>
          <w:fldChar w:fldCharType="end"/>
        </w:r>
      </w:p>
    </w:sdtContent>
  </w:sdt>
  <w:p w14:paraId="56B75EF6" w14:textId="77777777" w:rsidR="0073113C" w:rsidRDefault="007311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2941" w14:textId="77777777" w:rsidR="00C07E52" w:rsidRDefault="00C07E52" w:rsidP="0073113C">
      <w:pPr>
        <w:spacing w:after="0" w:line="240" w:lineRule="auto"/>
      </w:pPr>
      <w:r>
        <w:separator/>
      </w:r>
    </w:p>
  </w:footnote>
  <w:footnote w:type="continuationSeparator" w:id="0">
    <w:p w14:paraId="6B8F97FA" w14:textId="77777777" w:rsidR="00C07E52" w:rsidRDefault="00C07E52" w:rsidP="0073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F67C" w14:textId="77777777" w:rsidR="00B06E8A" w:rsidRPr="0033768F" w:rsidRDefault="00B06E8A" w:rsidP="00B06E8A">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1E94BC2E" w14:textId="77777777" w:rsidR="00B06E8A" w:rsidRPr="0033768F" w:rsidRDefault="00B06E8A" w:rsidP="00B06E8A">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4B03EEFA" w14:textId="77777777" w:rsidR="00B06E8A" w:rsidRDefault="00B06E8A" w:rsidP="00B06E8A">
    <w:pPr>
      <w:pStyle w:val="stBilgi"/>
    </w:pPr>
  </w:p>
  <w:p w14:paraId="50591D0C" w14:textId="3E1DE59B" w:rsidR="00385339" w:rsidRPr="00B06E8A" w:rsidRDefault="00385339" w:rsidP="00B06E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E1"/>
    <w:rsid w:val="00044ED6"/>
    <w:rsid w:val="000C3CE5"/>
    <w:rsid w:val="000D3531"/>
    <w:rsid w:val="0014534C"/>
    <w:rsid w:val="00176FE1"/>
    <w:rsid w:val="00204F9B"/>
    <w:rsid w:val="0031643E"/>
    <w:rsid w:val="00385339"/>
    <w:rsid w:val="0041439A"/>
    <w:rsid w:val="004F5873"/>
    <w:rsid w:val="005A110B"/>
    <w:rsid w:val="00615A7F"/>
    <w:rsid w:val="006B7A9C"/>
    <w:rsid w:val="006C5321"/>
    <w:rsid w:val="006F2A21"/>
    <w:rsid w:val="0073113C"/>
    <w:rsid w:val="00794D3A"/>
    <w:rsid w:val="008068B7"/>
    <w:rsid w:val="009B6807"/>
    <w:rsid w:val="00A6360A"/>
    <w:rsid w:val="00B06E8A"/>
    <w:rsid w:val="00B50F10"/>
    <w:rsid w:val="00BD6455"/>
    <w:rsid w:val="00C07E52"/>
    <w:rsid w:val="00C23507"/>
    <w:rsid w:val="00C34B56"/>
    <w:rsid w:val="00C715F8"/>
    <w:rsid w:val="00CB6E1F"/>
    <w:rsid w:val="00D53647"/>
    <w:rsid w:val="00E04FD3"/>
    <w:rsid w:val="00E37DB8"/>
    <w:rsid w:val="00FB7D24"/>
    <w:rsid w:val="00FE5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451619"/>
  <w15:chartTrackingRefBased/>
  <w15:docId w15:val="{50A9104B-6363-45AE-AF00-3B91566A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7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76F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76F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76F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76F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6F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6F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6F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6F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76F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76F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76F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76F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76F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6F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6F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6FE1"/>
    <w:rPr>
      <w:rFonts w:eastAsiaTheme="majorEastAsia" w:cstheme="majorBidi"/>
      <w:color w:val="272727" w:themeColor="text1" w:themeTint="D8"/>
    </w:rPr>
  </w:style>
  <w:style w:type="paragraph" w:styleId="KonuBal">
    <w:name w:val="Title"/>
    <w:basedOn w:val="Normal"/>
    <w:next w:val="Normal"/>
    <w:link w:val="KonuBalChar"/>
    <w:uiPriority w:val="10"/>
    <w:qFormat/>
    <w:rsid w:val="0017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6F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6F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6F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6F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6FE1"/>
    <w:rPr>
      <w:i/>
      <w:iCs/>
      <w:color w:val="404040" w:themeColor="text1" w:themeTint="BF"/>
    </w:rPr>
  </w:style>
  <w:style w:type="paragraph" w:styleId="ListeParagraf">
    <w:name w:val="List Paragraph"/>
    <w:basedOn w:val="Normal"/>
    <w:uiPriority w:val="34"/>
    <w:qFormat/>
    <w:rsid w:val="00176FE1"/>
    <w:pPr>
      <w:ind w:left="720"/>
      <w:contextualSpacing/>
    </w:pPr>
  </w:style>
  <w:style w:type="character" w:styleId="GlVurgulama">
    <w:name w:val="Intense Emphasis"/>
    <w:basedOn w:val="VarsaylanParagrafYazTipi"/>
    <w:uiPriority w:val="21"/>
    <w:qFormat/>
    <w:rsid w:val="00176FE1"/>
    <w:rPr>
      <w:i/>
      <w:iCs/>
      <w:color w:val="2F5496" w:themeColor="accent1" w:themeShade="BF"/>
    </w:rPr>
  </w:style>
  <w:style w:type="paragraph" w:styleId="GlAlnt">
    <w:name w:val="Intense Quote"/>
    <w:basedOn w:val="Normal"/>
    <w:next w:val="Normal"/>
    <w:link w:val="GlAlntChar"/>
    <w:uiPriority w:val="30"/>
    <w:qFormat/>
    <w:rsid w:val="0017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76FE1"/>
    <w:rPr>
      <w:i/>
      <w:iCs/>
      <w:color w:val="2F5496" w:themeColor="accent1" w:themeShade="BF"/>
    </w:rPr>
  </w:style>
  <w:style w:type="character" w:styleId="GlBavuru">
    <w:name w:val="Intense Reference"/>
    <w:basedOn w:val="VarsaylanParagrafYazTipi"/>
    <w:uiPriority w:val="32"/>
    <w:qFormat/>
    <w:rsid w:val="00176FE1"/>
    <w:rPr>
      <w:b/>
      <w:bCs/>
      <w:smallCaps/>
      <w:color w:val="2F5496" w:themeColor="accent1" w:themeShade="BF"/>
      <w:spacing w:val="5"/>
    </w:rPr>
  </w:style>
  <w:style w:type="paragraph" w:styleId="stBilgi">
    <w:name w:val="header"/>
    <w:basedOn w:val="Normal"/>
    <w:link w:val="stBilgiChar"/>
    <w:uiPriority w:val="99"/>
    <w:unhideWhenUsed/>
    <w:rsid w:val="00176F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6FE1"/>
  </w:style>
  <w:style w:type="paragraph" w:styleId="AltBilgi">
    <w:name w:val="footer"/>
    <w:basedOn w:val="Normal"/>
    <w:link w:val="AltBilgiChar"/>
    <w:uiPriority w:val="99"/>
    <w:unhideWhenUsed/>
    <w:rsid w:val="007311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1803">
      <w:bodyDiv w:val="1"/>
      <w:marLeft w:val="0"/>
      <w:marRight w:val="0"/>
      <w:marTop w:val="0"/>
      <w:marBottom w:val="0"/>
      <w:divBdr>
        <w:top w:val="none" w:sz="0" w:space="0" w:color="auto"/>
        <w:left w:val="none" w:sz="0" w:space="0" w:color="auto"/>
        <w:bottom w:val="none" w:sz="0" w:space="0" w:color="auto"/>
        <w:right w:val="none" w:sz="0" w:space="0" w:color="auto"/>
      </w:divBdr>
    </w:div>
    <w:div w:id="146434092">
      <w:bodyDiv w:val="1"/>
      <w:marLeft w:val="0"/>
      <w:marRight w:val="0"/>
      <w:marTop w:val="0"/>
      <w:marBottom w:val="0"/>
      <w:divBdr>
        <w:top w:val="none" w:sz="0" w:space="0" w:color="auto"/>
        <w:left w:val="none" w:sz="0" w:space="0" w:color="auto"/>
        <w:bottom w:val="none" w:sz="0" w:space="0" w:color="auto"/>
        <w:right w:val="none" w:sz="0" w:space="0" w:color="auto"/>
      </w:divBdr>
    </w:div>
    <w:div w:id="217860499">
      <w:bodyDiv w:val="1"/>
      <w:marLeft w:val="0"/>
      <w:marRight w:val="0"/>
      <w:marTop w:val="0"/>
      <w:marBottom w:val="0"/>
      <w:divBdr>
        <w:top w:val="none" w:sz="0" w:space="0" w:color="auto"/>
        <w:left w:val="none" w:sz="0" w:space="0" w:color="auto"/>
        <w:bottom w:val="none" w:sz="0" w:space="0" w:color="auto"/>
        <w:right w:val="none" w:sz="0" w:space="0" w:color="auto"/>
      </w:divBdr>
    </w:div>
    <w:div w:id="254675351">
      <w:bodyDiv w:val="1"/>
      <w:marLeft w:val="0"/>
      <w:marRight w:val="0"/>
      <w:marTop w:val="0"/>
      <w:marBottom w:val="0"/>
      <w:divBdr>
        <w:top w:val="none" w:sz="0" w:space="0" w:color="auto"/>
        <w:left w:val="none" w:sz="0" w:space="0" w:color="auto"/>
        <w:bottom w:val="none" w:sz="0" w:space="0" w:color="auto"/>
        <w:right w:val="none" w:sz="0" w:space="0" w:color="auto"/>
      </w:divBdr>
    </w:div>
    <w:div w:id="466627574">
      <w:bodyDiv w:val="1"/>
      <w:marLeft w:val="0"/>
      <w:marRight w:val="0"/>
      <w:marTop w:val="0"/>
      <w:marBottom w:val="0"/>
      <w:divBdr>
        <w:top w:val="none" w:sz="0" w:space="0" w:color="auto"/>
        <w:left w:val="none" w:sz="0" w:space="0" w:color="auto"/>
        <w:bottom w:val="none" w:sz="0" w:space="0" w:color="auto"/>
        <w:right w:val="none" w:sz="0" w:space="0" w:color="auto"/>
      </w:divBdr>
    </w:div>
    <w:div w:id="483858337">
      <w:bodyDiv w:val="1"/>
      <w:marLeft w:val="0"/>
      <w:marRight w:val="0"/>
      <w:marTop w:val="0"/>
      <w:marBottom w:val="0"/>
      <w:divBdr>
        <w:top w:val="none" w:sz="0" w:space="0" w:color="auto"/>
        <w:left w:val="none" w:sz="0" w:space="0" w:color="auto"/>
        <w:bottom w:val="none" w:sz="0" w:space="0" w:color="auto"/>
        <w:right w:val="none" w:sz="0" w:space="0" w:color="auto"/>
      </w:divBdr>
    </w:div>
    <w:div w:id="546064105">
      <w:bodyDiv w:val="1"/>
      <w:marLeft w:val="0"/>
      <w:marRight w:val="0"/>
      <w:marTop w:val="0"/>
      <w:marBottom w:val="0"/>
      <w:divBdr>
        <w:top w:val="none" w:sz="0" w:space="0" w:color="auto"/>
        <w:left w:val="none" w:sz="0" w:space="0" w:color="auto"/>
        <w:bottom w:val="none" w:sz="0" w:space="0" w:color="auto"/>
        <w:right w:val="none" w:sz="0" w:space="0" w:color="auto"/>
      </w:divBdr>
    </w:div>
    <w:div w:id="668405304">
      <w:bodyDiv w:val="1"/>
      <w:marLeft w:val="0"/>
      <w:marRight w:val="0"/>
      <w:marTop w:val="0"/>
      <w:marBottom w:val="0"/>
      <w:divBdr>
        <w:top w:val="none" w:sz="0" w:space="0" w:color="auto"/>
        <w:left w:val="none" w:sz="0" w:space="0" w:color="auto"/>
        <w:bottom w:val="none" w:sz="0" w:space="0" w:color="auto"/>
        <w:right w:val="none" w:sz="0" w:space="0" w:color="auto"/>
      </w:divBdr>
    </w:div>
    <w:div w:id="709918079">
      <w:bodyDiv w:val="1"/>
      <w:marLeft w:val="0"/>
      <w:marRight w:val="0"/>
      <w:marTop w:val="0"/>
      <w:marBottom w:val="0"/>
      <w:divBdr>
        <w:top w:val="none" w:sz="0" w:space="0" w:color="auto"/>
        <w:left w:val="none" w:sz="0" w:space="0" w:color="auto"/>
        <w:bottom w:val="none" w:sz="0" w:space="0" w:color="auto"/>
        <w:right w:val="none" w:sz="0" w:space="0" w:color="auto"/>
      </w:divBdr>
    </w:div>
    <w:div w:id="737049933">
      <w:bodyDiv w:val="1"/>
      <w:marLeft w:val="0"/>
      <w:marRight w:val="0"/>
      <w:marTop w:val="0"/>
      <w:marBottom w:val="0"/>
      <w:divBdr>
        <w:top w:val="none" w:sz="0" w:space="0" w:color="auto"/>
        <w:left w:val="none" w:sz="0" w:space="0" w:color="auto"/>
        <w:bottom w:val="none" w:sz="0" w:space="0" w:color="auto"/>
        <w:right w:val="none" w:sz="0" w:space="0" w:color="auto"/>
      </w:divBdr>
    </w:div>
    <w:div w:id="872116744">
      <w:bodyDiv w:val="1"/>
      <w:marLeft w:val="0"/>
      <w:marRight w:val="0"/>
      <w:marTop w:val="0"/>
      <w:marBottom w:val="0"/>
      <w:divBdr>
        <w:top w:val="none" w:sz="0" w:space="0" w:color="auto"/>
        <w:left w:val="none" w:sz="0" w:space="0" w:color="auto"/>
        <w:bottom w:val="none" w:sz="0" w:space="0" w:color="auto"/>
        <w:right w:val="none" w:sz="0" w:space="0" w:color="auto"/>
      </w:divBdr>
    </w:div>
    <w:div w:id="1151554030">
      <w:bodyDiv w:val="1"/>
      <w:marLeft w:val="0"/>
      <w:marRight w:val="0"/>
      <w:marTop w:val="0"/>
      <w:marBottom w:val="0"/>
      <w:divBdr>
        <w:top w:val="none" w:sz="0" w:space="0" w:color="auto"/>
        <w:left w:val="none" w:sz="0" w:space="0" w:color="auto"/>
        <w:bottom w:val="none" w:sz="0" w:space="0" w:color="auto"/>
        <w:right w:val="none" w:sz="0" w:space="0" w:color="auto"/>
      </w:divBdr>
    </w:div>
    <w:div w:id="1444305976">
      <w:bodyDiv w:val="1"/>
      <w:marLeft w:val="0"/>
      <w:marRight w:val="0"/>
      <w:marTop w:val="0"/>
      <w:marBottom w:val="0"/>
      <w:divBdr>
        <w:top w:val="none" w:sz="0" w:space="0" w:color="auto"/>
        <w:left w:val="none" w:sz="0" w:space="0" w:color="auto"/>
        <w:bottom w:val="none" w:sz="0" w:space="0" w:color="auto"/>
        <w:right w:val="none" w:sz="0" w:space="0" w:color="auto"/>
      </w:divBdr>
    </w:div>
    <w:div w:id="1963534265">
      <w:bodyDiv w:val="1"/>
      <w:marLeft w:val="0"/>
      <w:marRight w:val="0"/>
      <w:marTop w:val="0"/>
      <w:marBottom w:val="0"/>
      <w:divBdr>
        <w:top w:val="none" w:sz="0" w:space="0" w:color="auto"/>
        <w:left w:val="none" w:sz="0" w:space="0" w:color="auto"/>
        <w:bottom w:val="none" w:sz="0" w:space="0" w:color="auto"/>
        <w:right w:val="none" w:sz="0" w:space="0" w:color="auto"/>
      </w:divBdr>
    </w:div>
    <w:div w:id="2100708371">
      <w:bodyDiv w:val="1"/>
      <w:marLeft w:val="0"/>
      <w:marRight w:val="0"/>
      <w:marTop w:val="0"/>
      <w:marBottom w:val="0"/>
      <w:divBdr>
        <w:top w:val="none" w:sz="0" w:space="0" w:color="auto"/>
        <w:left w:val="none" w:sz="0" w:space="0" w:color="auto"/>
        <w:bottom w:val="none" w:sz="0" w:space="0" w:color="auto"/>
        <w:right w:val="none" w:sz="0" w:space="0" w:color="auto"/>
      </w:divBdr>
    </w:div>
    <w:div w:id="21199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17</cp:revision>
  <dcterms:created xsi:type="dcterms:W3CDTF">2025-05-25T09:09:00Z</dcterms:created>
  <dcterms:modified xsi:type="dcterms:W3CDTF">2025-05-30T15:39:00Z</dcterms:modified>
</cp:coreProperties>
</file>