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4462" w14:textId="229EDA00" w:rsidR="000E582B" w:rsidRPr="0091412D" w:rsidRDefault="000E582B" w:rsidP="000E582B">
      <w:pPr>
        <w:pStyle w:val="stBilgi"/>
        <w:jc w:val="center"/>
        <w:rPr>
          <w:b/>
          <w:bCs/>
          <w:sz w:val="32"/>
          <w:szCs w:val="32"/>
        </w:rPr>
      </w:pPr>
      <w:r w:rsidRPr="0091412D">
        <w:rPr>
          <w:b/>
          <w:bCs/>
          <w:sz w:val="32"/>
          <w:szCs w:val="32"/>
        </w:rPr>
        <w:t>VERGİ MEVZUATINDAKİ GELİŞMELER 2025/EYLÜL-</w:t>
      </w:r>
      <w:r>
        <w:rPr>
          <w:b/>
          <w:bCs/>
          <w:sz w:val="32"/>
          <w:szCs w:val="32"/>
        </w:rPr>
        <w:t>5</w:t>
      </w:r>
    </w:p>
    <w:p w14:paraId="447174FC" w14:textId="744329F8" w:rsidR="001D4951" w:rsidRPr="009D6DD7" w:rsidRDefault="001D4951" w:rsidP="001D4951">
      <w:pPr>
        <w:pStyle w:val="stBilgi"/>
        <w:jc w:val="center"/>
        <w:rPr>
          <w:b/>
          <w:bCs/>
          <w:sz w:val="18"/>
          <w:szCs w:val="18"/>
        </w:rPr>
      </w:pPr>
      <w:r w:rsidRPr="009D6DD7">
        <w:rPr>
          <w:b/>
          <w:bCs/>
          <w:sz w:val="18"/>
          <w:szCs w:val="18"/>
        </w:rPr>
        <w:t>(</w:t>
      </w:r>
      <w:r>
        <w:rPr>
          <w:b/>
          <w:bCs/>
          <w:sz w:val="18"/>
          <w:szCs w:val="18"/>
        </w:rPr>
        <w:t>26</w:t>
      </w:r>
      <w:r w:rsidRPr="009D6DD7">
        <w:rPr>
          <w:b/>
          <w:bCs/>
          <w:sz w:val="18"/>
          <w:szCs w:val="18"/>
        </w:rPr>
        <w:t>.09.2025-</w:t>
      </w:r>
      <w:r w:rsidR="004D6B73">
        <w:rPr>
          <w:b/>
          <w:bCs/>
          <w:sz w:val="18"/>
          <w:szCs w:val="18"/>
        </w:rPr>
        <w:t>30</w:t>
      </w:r>
      <w:r w:rsidRPr="009D6DD7">
        <w:rPr>
          <w:b/>
          <w:bCs/>
          <w:sz w:val="18"/>
          <w:szCs w:val="18"/>
        </w:rPr>
        <w:t>.09.2025)</w:t>
      </w:r>
    </w:p>
    <w:p w14:paraId="76014D13" w14:textId="77777777" w:rsidR="00C23507" w:rsidRDefault="00C23507"/>
    <w:p w14:paraId="27F54ED3" w14:textId="4535C323" w:rsidR="001D4951" w:rsidRPr="001D4951" w:rsidRDefault="001D4951">
      <w:pPr>
        <w:rPr>
          <w:b/>
          <w:bCs/>
          <w:sz w:val="26"/>
          <w:szCs w:val="26"/>
        </w:rPr>
      </w:pPr>
      <w:r w:rsidRPr="001D4951">
        <w:rPr>
          <w:b/>
          <w:bCs/>
          <w:sz w:val="26"/>
          <w:szCs w:val="26"/>
        </w:rPr>
        <w:t>I- SÜRDÜRÜLEBİLİRLİK DENETİMİ YÖNETMELİĞİNDEKİ DENETİM EKİPLERİNE İLİŞKİN MUAFİYET TARİHİNDE DEĞİŞİKLİK YAPILMIŞTIR</w:t>
      </w:r>
    </w:p>
    <w:p w14:paraId="17C9FC6A" w14:textId="05B6F6CE" w:rsidR="00B07FC8" w:rsidRDefault="001D4951" w:rsidP="001D4951">
      <w:pPr>
        <w:jc w:val="both"/>
      </w:pPr>
      <w:r w:rsidRPr="001D4951">
        <w:t>Kamu Gözetimi, Muhasebe ve Denetim Standartları Kurulu</w:t>
      </w:r>
      <w:r>
        <w:t>’</w:t>
      </w:r>
      <w:r w:rsidRPr="001D4951">
        <w:t>nun</w:t>
      </w:r>
      <w:r>
        <w:t xml:space="preserve"> 26 Eylül 2025 tarihli ve 33029 sayılı </w:t>
      </w:r>
      <w:proofErr w:type="gramStart"/>
      <w:r>
        <w:t>Resmi</w:t>
      </w:r>
      <w:proofErr w:type="gramEnd"/>
      <w:r>
        <w:t xml:space="preserve"> </w:t>
      </w:r>
      <w:proofErr w:type="spellStart"/>
      <w:r>
        <w:t>Gazete’de</w:t>
      </w:r>
      <w:proofErr w:type="spellEnd"/>
      <w:r>
        <w:t xml:space="preserve"> yayımlanan 22/09/2025 tarihli ve </w:t>
      </w:r>
      <w:r w:rsidRPr="001D4951">
        <w:t>75935942-050.01.04</w:t>
      </w:r>
      <w:proofErr w:type="gramStart"/>
      <w:r w:rsidRPr="001D4951">
        <w:t>-[</w:t>
      </w:r>
      <w:proofErr w:type="gramEnd"/>
      <w:r w:rsidRPr="001D4951">
        <w:t>01/35554]</w:t>
      </w:r>
      <w:r>
        <w:t xml:space="preserve"> sayılı kararı ile </w:t>
      </w:r>
      <w:hyperlink r:id="rId6" w:history="1">
        <w:r w:rsidRPr="001D4951">
          <w:rPr>
            <w:rStyle w:val="Kpr"/>
            <w:color w:val="auto"/>
            <w:u w:val="none"/>
          </w:rPr>
          <w:t>Sürdürülebilirlik Denetimi Yönetmeliği</w:t>
        </w:r>
      </w:hyperlink>
      <w:r>
        <w:t xml:space="preserve">’nin geçici 1. maddesinin 3. fıkrasında yer alan süre uzatılmıştır. </w:t>
      </w:r>
      <w:r w:rsidR="00B07FC8">
        <w:t xml:space="preserve">(Söz konusu geçici 1. maddenin 2. fıkrasında yer alan süre de 30 Eylül 2025 tarihli ve 33033 sayılı Resmî </w:t>
      </w:r>
      <w:proofErr w:type="spellStart"/>
      <w:r w:rsidR="00B07FC8">
        <w:t>Gazete’de</w:t>
      </w:r>
      <w:proofErr w:type="spellEnd"/>
      <w:r w:rsidR="00B07FC8">
        <w:t xml:space="preserve"> yayımlanan Karar ile uzatılmıştır. Bu husus, aşağıdaki III. bölümde açıklanmıştır).</w:t>
      </w:r>
    </w:p>
    <w:p w14:paraId="3A6C8ED5" w14:textId="77C33B61" w:rsidR="001D4951" w:rsidRDefault="001D4951" w:rsidP="001D4951">
      <w:pPr>
        <w:jc w:val="both"/>
      </w:pPr>
      <w:r>
        <w:t>Söz konusu Karar aşağıdaki gibidir:</w:t>
      </w:r>
    </w:p>
    <w:p w14:paraId="3BA02DE7" w14:textId="1B12BCE7" w:rsidR="001D4951" w:rsidRPr="001D4951" w:rsidRDefault="008B25EC" w:rsidP="001D4951">
      <w:pPr>
        <w:jc w:val="both"/>
      </w:pPr>
      <w:r>
        <w:t>“</w:t>
      </w:r>
      <w:r w:rsidR="001D4951" w:rsidRPr="001D4951">
        <w:t xml:space="preserve">17/01/2025 tarihli ve 32785 sayılı Resmî </w:t>
      </w:r>
      <w:proofErr w:type="spellStart"/>
      <w:r w:rsidR="001D4951" w:rsidRPr="001D4951">
        <w:t>Gazete’de</w:t>
      </w:r>
      <w:proofErr w:type="spellEnd"/>
      <w:r w:rsidR="001D4951" w:rsidRPr="001D4951">
        <w:t xml:space="preserve"> yayımlanan </w:t>
      </w:r>
      <w:hyperlink r:id="rId7" w:history="1">
        <w:r w:rsidR="001D4951" w:rsidRPr="001D4951">
          <w:rPr>
            <w:rStyle w:val="Kpr"/>
            <w:color w:val="auto"/>
            <w:u w:val="none"/>
          </w:rPr>
          <w:t>Sürdürülebilirlik Denetimi Yönetmeliği</w:t>
        </w:r>
      </w:hyperlink>
      <w:r w:rsidR="001D4951" w:rsidRPr="001D4951">
        <w:t> ile sürdürülebilirlik denetimi, sürdürülebilirlik alanında faaliyette bulunacak bağımsız denetim kuruluşlarının ve bağımsız denetçilerin yetkilendirilmeleri, sicil kayıtlarının tutulması, yükümlülükleri, sorumlulukları, bunların Kurum tarafından incelenmesi, denetlenmesi ve bunlar hakkında uygulanacak idari yaptırımlara ilişkin usul ve esaslar düzenlenmiş ve hükme bağlanmıştır.</w:t>
      </w:r>
    </w:p>
    <w:p w14:paraId="24248CC4" w14:textId="73A06521" w:rsidR="001D4951" w:rsidRDefault="001D4951" w:rsidP="001D4951">
      <w:pPr>
        <w:jc w:val="both"/>
      </w:pPr>
      <w:r>
        <w:t>Söz konusu</w:t>
      </w:r>
      <w:r w:rsidRPr="001D4951">
        <w:t xml:space="preserve"> Yönetmeliğin denetim ekiplerine ilişkin Geçici 1</w:t>
      </w:r>
      <w:r>
        <w:t>’</w:t>
      </w:r>
      <w:r w:rsidRPr="001D4951">
        <w:t>inci maddesinin üçüncü fıkrasında yer alan muafiyetin süresinin 01.01.2027 tarihine kadar uzatılmasına karar verilmiştir.</w:t>
      </w:r>
      <w:r w:rsidR="008B25EC">
        <w:t>”</w:t>
      </w:r>
      <w:r>
        <w:t xml:space="preserve"> </w:t>
      </w:r>
    </w:p>
    <w:p w14:paraId="0B0DD46F" w14:textId="097C8BA0" w:rsidR="001D4951" w:rsidRDefault="001D4951" w:rsidP="001D4951">
      <w:pPr>
        <w:jc w:val="both"/>
      </w:pPr>
      <w:r>
        <w:t>Değişiklik sonrasında anılan geçici 1. maddenin son hali aşağıdaki gibidir:</w:t>
      </w:r>
    </w:p>
    <w:p w14:paraId="5AF4EE60" w14:textId="603C5EFC" w:rsidR="001D4951" w:rsidRPr="008B25EC" w:rsidRDefault="001D4951" w:rsidP="008B25EC">
      <w:pPr>
        <w:shd w:val="clear" w:color="auto" w:fill="F2F2F2" w:themeFill="background1" w:themeFillShade="F2"/>
        <w:jc w:val="both"/>
        <w:rPr>
          <w:i/>
          <w:iCs/>
          <w:sz w:val="20"/>
          <w:szCs w:val="20"/>
        </w:rPr>
      </w:pPr>
      <w:r w:rsidRPr="008B25EC">
        <w:rPr>
          <w:i/>
          <w:iCs/>
          <w:sz w:val="20"/>
          <w:szCs w:val="20"/>
        </w:rPr>
        <w:t>“</w:t>
      </w:r>
      <w:r w:rsidRPr="008B25EC">
        <w:rPr>
          <w:b/>
          <w:bCs/>
          <w:i/>
          <w:iCs/>
          <w:sz w:val="20"/>
          <w:szCs w:val="20"/>
        </w:rPr>
        <w:t>GEÇİCİ MADDE 1- </w:t>
      </w:r>
      <w:r w:rsidRPr="008B25EC">
        <w:rPr>
          <w:i/>
          <w:iCs/>
          <w:sz w:val="20"/>
          <w:szCs w:val="20"/>
        </w:rPr>
        <w:t>(1) Denetim kuruluşlarının yetkilendirilmesinde, 31/12/2026 tarihine kadar 12’nci maddenin birinci fıkrasının (ç) bendinde yer alan şart aranmaz. Bu kapsamda yetkilendirilen denetim kuruluşlarının, 30/6/2027 tarihine kadar 12’nci maddenin birinci fıkrasının (ç) bendinde öngörülen şartı sağlamaları gereklidir.</w:t>
      </w:r>
    </w:p>
    <w:p w14:paraId="0169CA3F" w14:textId="788ACD3A" w:rsidR="001D4951" w:rsidRPr="001D4951" w:rsidRDefault="001D4951" w:rsidP="008B25EC">
      <w:pPr>
        <w:shd w:val="clear" w:color="auto" w:fill="F2F2F2" w:themeFill="background1" w:themeFillShade="F2"/>
        <w:jc w:val="both"/>
        <w:rPr>
          <w:i/>
          <w:iCs/>
          <w:sz w:val="20"/>
          <w:szCs w:val="20"/>
        </w:rPr>
      </w:pPr>
      <w:r w:rsidRPr="001D4951">
        <w:rPr>
          <w:i/>
          <w:iCs/>
          <w:sz w:val="20"/>
          <w:szCs w:val="20"/>
        </w:rPr>
        <w:t>(2) Sürdürülebilirlik denetçisi olmak için 13</w:t>
      </w:r>
      <w:r w:rsidRPr="008B25EC">
        <w:rPr>
          <w:i/>
          <w:iCs/>
          <w:sz w:val="20"/>
          <w:szCs w:val="20"/>
        </w:rPr>
        <w:t>’</w:t>
      </w:r>
      <w:r w:rsidRPr="001D4951">
        <w:rPr>
          <w:i/>
          <w:iCs/>
          <w:sz w:val="20"/>
          <w:szCs w:val="20"/>
        </w:rPr>
        <w:t>üncü madde uyarınca aranan diğer şartlar saklı kalmak kaydıyla, 31/12/2025 tarihine kadar yapılacak yetkilendirilmelerde 15</w:t>
      </w:r>
      <w:r w:rsidRPr="008B25EC">
        <w:rPr>
          <w:i/>
          <w:iCs/>
          <w:sz w:val="20"/>
          <w:szCs w:val="20"/>
        </w:rPr>
        <w:t>’</w:t>
      </w:r>
      <w:r w:rsidRPr="001D4951">
        <w:rPr>
          <w:i/>
          <w:iCs/>
          <w:sz w:val="20"/>
          <w:szCs w:val="20"/>
        </w:rPr>
        <w:t>inci maddede öngörülen uygulamalı mesleki eğitim şartı aranmaz.</w:t>
      </w:r>
    </w:p>
    <w:p w14:paraId="52807F8B" w14:textId="1F164943" w:rsidR="001D4951" w:rsidRPr="001D4951" w:rsidRDefault="001D4951" w:rsidP="008B25EC">
      <w:pPr>
        <w:shd w:val="clear" w:color="auto" w:fill="F2F2F2" w:themeFill="background1" w:themeFillShade="F2"/>
        <w:jc w:val="both"/>
        <w:rPr>
          <w:i/>
          <w:iCs/>
          <w:sz w:val="20"/>
          <w:szCs w:val="20"/>
        </w:rPr>
      </w:pPr>
      <w:r w:rsidRPr="001D4951">
        <w:rPr>
          <w:i/>
          <w:iCs/>
          <w:sz w:val="20"/>
          <w:szCs w:val="20"/>
        </w:rPr>
        <w:t xml:space="preserve">(3) </w:t>
      </w:r>
      <w:r w:rsidRPr="001D4951">
        <w:rPr>
          <w:b/>
          <w:bCs/>
          <w:i/>
          <w:iCs/>
          <w:sz w:val="20"/>
          <w:szCs w:val="20"/>
        </w:rPr>
        <w:t>1/1/202</w:t>
      </w:r>
      <w:r w:rsidRPr="008B25EC">
        <w:rPr>
          <w:b/>
          <w:bCs/>
          <w:i/>
          <w:iCs/>
          <w:sz w:val="20"/>
          <w:szCs w:val="20"/>
        </w:rPr>
        <w:t>7</w:t>
      </w:r>
      <w:r w:rsidRPr="001D4951">
        <w:rPr>
          <w:i/>
          <w:iCs/>
          <w:sz w:val="20"/>
          <w:szCs w:val="20"/>
        </w:rPr>
        <w:t xml:space="preserve"> tarihinden önce biten hesap dönemlerine ilişkin sürdürülebilirlik denetimlerinde, denetim ekiplerine ilişkin 18</w:t>
      </w:r>
      <w:r w:rsidRPr="008B25EC">
        <w:rPr>
          <w:i/>
          <w:iCs/>
          <w:sz w:val="20"/>
          <w:szCs w:val="20"/>
        </w:rPr>
        <w:t>’</w:t>
      </w:r>
      <w:r w:rsidRPr="001D4951">
        <w:rPr>
          <w:i/>
          <w:iCs/>
          <w:sz w:val="20"/>
          <w:szCs w:val="20"/>
        </w:rPr>
        <w:t>inci madde uyarınca aranan diğer şartlar saklı kalmak kaydıyla, denetim ekiplerinde sürdürülebilirlik alanında yetkili olmayan denetçilere yer verilebilir. Ancak, asıl denetim ekibindeki sorumlu denetçi ile en az bir denetçinin sürdürülebilirlik alanında yetkili olması şarttır.</w:t>
      </w:r>
    </w:p>
    <w:p w14:paraId="26A9DB3B" w14:textId="33901A69" w:rsidR="001D4951" w:rsidRPr="001D4951" w:rsidRDefault="001D4951" w:rsidP="008B25EC">
      <w:pPr>
        <w:shd w:val="clear" w:color="auto" w:fill="F2F2F2" w:themeFill="background1" w:themeFillShade="F2"/>
        <w:jc w:val="both"/>
        <w:rPr>
          <w:i/>
          <w:iCs/>
          <w:sz w:val="20"/>
          <w:szCs w:val="20"/>
        </w:rPr>
      </w:pPr>
      <w:r w:rsidRPr="001D4951">
        <w:rPr>
          <w:i/>
          <w:iCs/>
          <w:sz w:val="20"/>
          <w:szCs w:val="20"/>
        </w:rPr>
        <w:t>(4) 31/12/2028 tarihine kadar yapılacak olan sorumlu denetçi görevlendirmelerinde, 19</w:t>
      </w:r>
      <w:r w:rsidRPr="008B25EC">
        <w:rPr>
          <w:i/>
          <w:iCs/>
          <w:sz w:val="20"/>
          <w:szCs w:val="20"/>
        </w:rPr>
        <w:t>’</w:t>
      </w:r>
      <w:r w:rsidRPr="001D4951">
        <w:rPr>
          <w:i/>
          <w:iCs/>
          <w:sz w:val="20"/>
          <w:szCs w:val="20"/>
        </w:rPr>
        <w:t>uncu maddenin birinci fıkrasının (c) bendinde öngörülen şart aranmaz. Bu kapsamda sorumlu denetçi olarak görevlendirilenlerin, 31/12/2028 tarihine kadar 19</w:t>
      </w:r>
      <w:r w:rsidRPr="008B25EC">
        <w:rPr>
          <w:i/>
          <w:iCs/>
          <w:sz w:val="20"/>
          <w:szCs w:val="20"/>
        </w:rPr>
        <w:t>’</w:t>
      </w:r>
      <w:r w:rsidRPr="001D4951">
        <w:rPr>
          <w:i/>
          <w:iCs/>
          <w:sz w:val="20"/>
          <w:szCs w:val="20"/>
        </w:rPr>
        <w:t>uncu maddenin birinci fıkrasının (c) bendinde öngörülen şartı sağlamaları gereklidir.</w:t>
      </w:r>
    </w:p>
    <w:p w14:paraId="5D4C1C4E" w14:textId="3678B7FE" w:rsidR="001D4951" w:rsidRPr="008B25EC" w:rsidRDefault="001D4951" w:rsidP="008B25EC">
      <w:pPr>
        <w:shd w:val="clear" w:color="auto" w:fill="F2F2F2" w:themeFill="background1" w:themeFillShade="F2"/>
        <w:jc w:val="both"/>
        <w:rPr>
          <w:i/>
          <w:iCs/>
          <w:sz w:val="20"/>
          <w:szCs w:val="20"/>
        </w:rPr>
      </w:pPr>
      <w:r w:rsidRPr="001D4951">
        <w:rPr>
          <w:i/>
          <w:iCs/>
          <w:sz w:val="20"/>
          <w:szCs w:val="20"/>
        </w:rPr>
        <w:t>(5) Kurul, bu maddede belirtilen süreleri üç yılı geçmemek üzere uzatmaya yetkilidir.</w:t>
      </w:r>
      <w:r w:rsidRPr="008B25EC">
        <w:rPr>
          <w:i/>
          <w:iCs/>
          <w:sz w:val="20"/>
          <w:szCs w:val="20"/>
        </w:rPr>
        <w:t>”</w:t>
      </w:r>
    </w:p>
    <w:p w14:paraId="75323D9B" w14:textId="77777777" w:rsidR="001D4951" w:rsidRDefault="001D4951" w:rsidP="001D4951"/>
    <w:p w14:paraId="08671389" w14:textId="77777777" w:rsidR="004A3C3A" w:rsidRDefault="004A3C3A" w:rsidP="001D4951"/>
    <w:p w14:paraId="44C87215" w14:textId="77777777" w:rsidR="004A3C3A" w:rsidRPr="001D4951" w:rsidRDefault="004A3C3A" w:rsidP="001D4951"/>
    <w:p w14:paraId="2F9B76F6" w14:textId="503F117A" w:rsidR="001D4951" w:rsidRPr="004915E0" w:rsidRDefault="004915E0" w:rsidP="000E582B">
      <w:pPr>
        <w:jc w:val="both"/>
        <w:rPr>
          <w:b/>
          <w:bCs/>
          <w:sz w:val="26"/>
          <w:szCs w:val="26"/>
        </w:rPr>
      </w:pPr>
      <w:r w:rsidRPr="004915E0">
        <w:rPr>
          <w:b/>
          <w:bCs/>
          <w:sz w:val="26"/>
          <w:szCs w:val="26"/>
        </w:rPr>
        <w:lastRenderedPageBreak/>
        <w:t>II- KAMU GÖZETİMİ, MUHASEBE VE D</w:t>
      </w:r>
      <w:r w:rsidR="000E582B">
        <w:rPr>
          <w:b/>
          <w:bCs/>
          <w:sz w:val="26"/>
          <w:szCs w:val="26"/>
        </w:rPr>
        <w:t>E</w:t>
      </w:r>
      <w:r w:rsidRPr="004915E0">
        <w:rPr>
          <w:b/>
          <w:bCs/>
          <w:sz w:val="26"/>
          <w:szCs w:val="26"/>
        </w:rPr>
        <w:t>NETİM STA</w:t>
      </w:r>
      <w:r w:rsidR="000E582B">
        <w:rPr>
          <w:b/>
          <w:bCs/>
          <w:sz w:val="26"/>
          <w:szCs w:val="26"/>
        </w:rPr>
        <w:t>N</w:t>
      </w:r>
      <w:r w:rsidRPr="004915E0">
        <w:rPr>
          <w:b/>
          <w:bCs/>
          <w:sz w:val="26"/>
          <w:szCs w:val="26"/>
        </w:rPr>
        <w:t>DAR</w:t>
      </w:r>
      <w:r w:rsidR="000E582B">
        <w:rPr>
          <w:b/>
          <w:bCs/>
          <w:sz w:val="26"/>
          <w:szCs w:val="26"/>
        </w:rPr>
        <w:t>T</w:t>
      </w:r>
      <w:r w:rsidRPr="004915E0">
        <w:rPr>
          <w:b/>
          <w:bCs/>
          <w:sz w:val="26"/>
          <w:szCs w:val="26"/>
        </w:rPr>
        <w:t xml:space="preserve">LARI KURUMU TARAFINDAN TFRS’LERE İLİŞKİN YILLIK </w:t>
      </w:r>
      <w:proofErr w:type="gramStart"/>
      <w:r w:rsidRPr="004915E0">
        <w:rPr>
          <w:b/>
          <w:bCs/>
          <w:sz w:val="26"/>
          <w:szCs w:val="26"/>
        </w:rPr>
        <w:t>İYİLEŞTİRMELER -</w:t>
      </w:r>
      <w:proofErr w:type="gramEnd"/>
      <w:r w:rsidRPr="004915E0">
        <w:rPr>
          <w:b/>
          <w:bCs/>
          <w:sz w:val="26"/>
          <w:szCs w:val="26"/>
        </w:rPr>
        <w:t xml:space="preserve"> CİLT 11 YAYIMLANMIŞTIR</w:t>
      </w:r>
    </w:p>
    <w:p w14:paraId="26664FA7" w14:textId="0D1A3083" w:rsidR="001D4951" w:rsidRDefault="004915E0" w:rsidP="00190294">
      <w:pPr>
        <w:jc w:val="both"/>
      </w:pPr>
      <w:r w:rsidRPr="001D4951">
        <w:t>Kamu Gözetimi, Muhasebe ve Denetim Standartları Kurulu</w:t>
      </w:r>
      <w:r>
        <w:t>’</w:t>
      </w:r>
      <w:r w:rsidRPr="001D4951">
        <w:t>nun</w:t>
      </w:r>
      <w:r>
        <w:t xml:space="preserve"> 27 Eylül 2025 tarihli ve 33030 sayılı Resm</w:t>
      </w:r>
      <w:r w:rsidR="00B07FC8">
        <w:t>î</w:t>
      </w:r>
      <w:r>
        <w:t xml:space="preserve"> </w:t>
      </w:r>
      <w:proofErr w:type="spellStart"/>
      <w:r>
        <w:t>Gazete’de</w:t>
      </w:r>
      <w:proofErr w:type="spellEnd"/>
      <w:r>
        <w:t xml:space="preserve"> yayımlanan 23/09/2025 tarihli ve </w:t>
      </w:r>
      <w:r w:rsidRPr="001D4951">
        <w:t>75935942-050.01.04-[01/35</w:t>
      </w:r>
      <w:r>
        <w:t>612</w:t>
      </w:r>
      <w:r w:rsidRPr="001D4951">
        <w:t>]</w:t>
      </w:r>
      <w:r>
        <w:t xml:space="preserve"> sayılı kararı ile </w:t>
      </w:r>
      <w:r w:rsidRPr="004915E0">
        <w:t>60 sayılı Kanun Hükmünde Kararnamenin 9’uncu maddesi uyarınca; uluslararası standartlarla uyum sağlamak üzere, Uluslararası Muhasebe Standartları Kurulu tarafından “</w:t>
      </w:r>
      <w:proofErr w:type="spellStart"/>
      <w:r w:rsidRPr="004915E0">
        <w:rPr>
          <w:i/>
          <w:iCs/>
        </w:rPr>
        <w:t>Annual</w:t>
      </w:r>
      <w:proofErr w:type="spellEnd"/>
      <w:r w:rsidRPr="004915E0">
        <w:rPr>
          <w:i/>
          <w:iCs/>
        </w:rPr>
        <w:t xml:space="preserve"> </w:t>
      </w:r>
      <w:proofErr w:type="spellStart"/>
      <w:r w:rsidRPr="004915E0">
        <w:rPr>
          <w:i/>
          <w:iCs/>
        </w:rPr>
        <w:t>Improvements</w:t>
      </w:r>
      <w:proofErr w:type="spellEnd"/>
      <w:r w:rsidRPr="004915E0">
        <w:rPr>
          <w:i/>
          <w:iCs/>
        </w:rPr>
        <w:t xml:space="preserve"> </w:t>
      </w:r>
      <w:proofErr w:type="spellStart"/>
      <w:r w:rsidRPr="004915E0">
        <w:rPr>
          <w:i/>
          <w:iCs/>
        </w:rPr>
        <w:t>to</w:t>
      </w:r>
      <w:proofErr w:type="spellEnd"/>
      <w:r w:rsidRPr="004915E0">
        <w:rPr>
          <w:i/>
          <w:iCs/>
        </w:rPr>
        <w:t xml:space="preserve"> IFRS Accounting </w:t>
      </w:r>
      <w:proofErr w:type="spellStart"/>
      <w:r w:rsidRPr="004915E0">
        <w:rPr>
          <w:i/>
          <w:iCs/>
        </w:rPr>
        <w:t>Standards</w:t>
      </w:r>
      <w:proofErr w:type="spellEnd"/>
      <w:r w:rsidRPr="004915E0">
        <w:rPr>
          <w:i/>
          <w:iCs/>
        </w:rPr>
        <w:t>—Volume 11″</w:t>
      </w:r>
      <w:r w:rsidRPr="004915E0">
        <w:t> başlığıyla yayımlanan değişikliklerin mevzuatımıza kazandırılması amacıyla “</w:t>
      </w:r>
      <w:proofErr w:type="spellStart"/>
      <w:r w:rsidRPr="004915E0">
        <w:rPr>
          <w:i/>
          <w:iCs/>
        </w:rPr>
        <w:t>TFRS’lere</w:t>
      </w:r>
      <w:proofErr w:type="spellEnd"/>
      <w:r w:rsidRPr="004915E0">
        <w:rPr>
          <w:i/>
          <w:iCs/>
        </w:rPr>
        <w:t xml:space="preserve"> İlişkin Yıllık İyileştirmeler -Cilt 11</w:t>
      </w:r>
      <w:r w:rsidRPr="004915E0">
        <w:t>“in yayımlanmasına karar verilmiştir.</w:t>
      </w:r>
    </w:p>
    <w:p w14:paraId="21F366C3" w14:textId="3D06E183" w:rsidR="004915E0" w:rsidRDefault="004915E0" w:rsidP="00190294">
      <w:pPr>
        <w:jc w:val="both"/>
      </w:pPr>
      <w:r>
        <w:t xml:space="preserve">Değişikliklere ilişkin </w:t>
      </w:r>
      <w:proofErr w:type="spellStart"/>
      <w:r w:rsidRPr="004915E0">
        <w:t>TFRS’lere</w:t>
      </w:r>
      <w:proofErr w:type="spellEnd"/>
      <w:r w:rsidRPr="004915E0">
        <w:t xml:space="preserve"> İlişkin Yıllık İyileştirmeler -Cilt 11</w:t>
      </w:r>
      <w:r>
        <w:t xml:space="preserve"> başlıklı düzenlemeye 27 Eylül 2025 tarihli ve 33030 sayılı Resm</w:t>
      </w:r>
      <w:r w:rsidR="00B07FC8">
        <w:t>î</w:t>
      </w:r>
      <w:r>
        <w:t xml:space="preserve"> </w:t>
      </w:r>
      <w:proofErr w:type="spellStart"/>
      <w:r>
        <w:t>Gazete’den</w:t>
      </w:r>
      <w:proofErr w:type="spellEnd"/>
      <w:r>
        <w:t xml:space="preserve"> ulaşılabilir.</w:t>
      </w:r>
    </w:p>
    <w:p w14:paraId="348EA187" w14:textId="672D39DF" w:rsidR="004D6B73" w:rsidRPr="001D4951" w:rsidRDefault="004D6B73" w:rsidP="004D6B73">
      <w:pPr>
        <w:rPr>
          <w:b/>
          <w:bCs/>
          <w:sz w:val="26"/>
          <w:szCs w:val="26"/>
        </w:rPr>
      </w:pPr>
      <w:r w:rsidRPr="004D6B73">
        <w:rPr>
          <w:b/>
          <w:bCs/>
          <w:sz w:val="26"/>
          <w:szCs w:val="26"/>
        </w:rPr>
        <w:t>III</w:t>
      </w:r>
      <w:r w:rsidRPr="001D4951">
        <w:rPr>
          <w:b/>
          <w:bCs/>
          <w:sz w:val="26"/>
          <w:szCs w:val="26"/>
        </w:rPr>
        <w:t xml:space="preserve">- SÜRDÜRÜLEBİLİRLİK DENETİMİ YÖNETMELİĞİNDEKİ </w:t>
      </w:r>
      <w:r>
        <w:rPr>
          <w:b/>
          <w:bCs/>
          <w:sz w:val="26"/>
          <w:szCs w:val="26"/>
        </w:rPr>
        <w:t>MESLEKİ EĞİTİM ŞARTINA</w:t>
      </w:r>
      <w:r w:rsidRPr="001D4951">
        <w:rPr>
          <w:b/>
          <w:bCs/>
          <w:sz w:val="26"/>
          <w:szCs w:val="26"/>
        </w:rPr>
        <w:t xml:space="preserve"> İLİŞKİN MUAFİYET TARİHİNDE DEĞİŞİKLİK YAPILMIŞTIR</w:t>
      </w:r>
    </w:p>
    <w:p w14:paraId="5ED781EC" w14:textId="22B30809" w:rsidR="004D6B73" w:rsidRDefault="004D6B73" w:rsidP="004D6B73">
      <w:pPr>
        <w:jc w:val="both"/>
      </w:pPr>
      <w:r w:rsidRPr="001D4951">
        <w:t>Kamu Gözetimi, Muhasebe ve Denetim Standartları Kurulu</w:t>
      </w:r>
      <w:r>
        <w:t>’</w:t>
      </w:r>
      <w:r w:rsidRPr="001D4951">
        <w:t>nun</w:t>
      </w:r>
      <w:r>
        <w:t xml:space="preserve"> 30 Eylül 2025 tarihli ve 33033 sayılı Resm</w:t>
      </w:r>
      <w:r w:rsidR="00B07FC8">
        <w:t>î</w:t>
      </w:r>
      <w:r>
        <w:t xml:space="preserve"> </w:t>
      </w:r>
      <w:proofErr w:type="spellStart"/>
      <w:r>
        <w:t>Gazete’de</w:t>
      </w:r>
      <w:proofErr w:type="spellEnd"/>
      <w:r>
        <w:t xml:space="preserve"> yayımlanan 22/09/2025 tarihli ve </w:t>
      </w:r>
      <w:r w:rsidRPr="001D4951">
        <w:t>75935942-050.01.04</w:t>
      </w:r>
      <w:proofErr w:type="gramStart"/>
      <w:r w:rsidRPr="001D4951">
        <w:t>-[</w:t>
      </w:r>
      <w:proofErr w:type="gramEnd"/>
      <w:r w:rsidRPr="001D4951">
        <w:t>01/3555</w:t>
      </w:r>
      <w:r>
        <w:t>1</w:t>
      </w:r>
      <w:r w:rsidRPr="001D4951">
        <w:t>]</w:t>
      </w:r>
      <w:r>
        <w:t xml:space="preserve"> sayılı kararı ile </w:t>
      </w:r>
      <w:hyperlink r:id="rId8" w:history="1">
        <w:r w:rsidRPr="001D4951">
          <w:rPr>
            <w:rStyle w:val="Kpr"/>
            <w:color w:val="auto"/>
            <w:u w:val="none"/>
          </w:rPr>
          <w:t>Sürdürülebilirlik Denetimi Yönetmeliği</w:t>
        </w:r>
      </w:hyperlink>
      <w:r>
        <w:t>’nin geçici 1. maddesinin 2. fıkrasında yer alan süre uzatılmıştır. Söz konusu Karar aşağıdaki gibidir:</w:t>
      </w:r>
    </w:p>
    <w:p w14:paraId="1AADB14D" w14:textId="6CF1AC93" w:rsidR="00233463" w:rsidRPr="00233463" w:rsidRDefault="00233463" w:rsidP="00233463">
      <w:pPr>
        <w:jc w:val="both"/>
      </w:pPr>
      <w:r>
        <w:t>“</w:t>
      </w:r>
      <w:r w:rsidRPr="00233463">
        <w:t xml:space="preserve">17/01/2025 tarihli ve 32785 sayılı Resmî </w:t>
      </w:r>
      <w:proofErr w:type="spellStart"/>
      <w:r w:rsidRPr="00233463">
        <w:t>Gazete’de</w:t>
      </w:r>
      <w:proofErr w:type="spellEnd"/>
      <w:r w:rsidRPr="00233463">
        <w:t xml:space="preserve"> yayımlanan Sürdürülebilirlik Denetimi Yönetmeliği ile sürdürülebilirlik denetimi, sürdürülebilirlik alanında faaliyette bulunacak bağımsız denetim kuruluşlarının ve bağımsız denetçilerin yetkilendirilmeleri, sicil kayıtlarının tutulması, yükümlülükleri, sorumlulukları, bunların Kurum tarafından incelenmesi, denetlenmesi ve bunlar hakkında uygulanacak idari yaptırımlara ilişkin usul ve esaslar düzenlenmiş ve hükme bağlanmıştır.</w:t>
      </w:r>
    </w:p>
    <w:p w14:paraId="14778F3F" w14:textId="0CA1B5BF" w:rsidR="00233463" w:rsidRPr="00233463" w:rsidRDefault="00233463" w:rsidP="00233463">
      <w:pPr>
        <w:jc w:val="both"/>
      </w:pPr>
      <w:r w:rsidRPr="00233463">
        <w:t>Mezkûr Yönetmeliğin uygulamalı mesleki eğitim şartına ilişkin Geçici 1</w:t>
      </w:r>
      <w:r>
        <w:t>’</w:t>
      </w:r>
      <w:r w:rsidRPr="00233463">
        <w:t>inci maddesinin ikinci fıkrasında yer alan muafiyetin süresinin 31.12.2026 tarihine kadar uzatılmasına karar verilmiştir.</w:t>
      </w:r>
      <w:r>
        <w:t>”</w:t>
      </w:r>
    </w:p>
    <w:p w14:paraId="2BB5CB86" w14:textId="77777777" w:rsidR="00233463" w:rsidRDefault="00233463" w:rsidP="00233463">
      <w:pPr>
        <w:jc w:val="both"/>
      </w:pPr>
      <w:r>
        <w:t>Değişiklik sonrasında anılan geçici 1. maddenin son hali aşağıdaki gibidir:</w:t>
      </w:r>
    </w:p>
    <w:p w14:paraId="5F26E385" w14:textId="77777777" w:rsidR="004D6B73" w:rsidRPr="008B25EC" w:rsidRDefault="004D6B73" w:rsidP="004D6B73">
      <w:pPr>
        <w:shd w:val="clear" w:color="auto" w:fill="F2F2F2" w:themeFill="background1" w:themeFillShade="F2"/>
        <w:jc w:val="both"/>
        <w:rPr>
          <w:i/>
          <w:iCs/>
          <w:sz w:val="20"/>
          <w:szCs w:val="20"/>
        </w:rPr>
      </w:pPr>
      <w:r w:rsidRPr="008B25EC">
        <w:rPr>
          <w:i/>
          <w:iCs/>
          <w:sz w:val="20"/>
          <w:szCs w:val="20"/>
        </w:rPr>
        <w:t>“</w:t>
      </w:r>
      <w:r w:rsidRPr="008B25EC">
        <w:rPr>
          <w:b/>
          <w:bCs/>
          <w:i/>
          <w:iCs/>
          <w:sz w:val="20"/>
          <w:szCs w:val="20"/>
        </w:rPr>
        <w:t>GEÇİCİ MADDE 1- </w:t>
      </w:r>
      <w:r w:rsidRPr="008B25EC">
        <w:rPr>
          <w:i/>
          <w:iCs/>
          <w:sz w:val="20"/>
          <w:szCs w:val="20"/>
        </w:rPr>
        <w:t>(1) Denetim kuruluşlarının yetkilendirilmesinde, 31/12/2026 tarihine kadar 12’nci maddenin birinci fıkrasının (ç) bendinde yer alan şart aranmaz. Bu kapsamda yetkilendirilen denetim kuruluşlarının, 30/6/2027 tarihine kadar 12’nci maddenin birinci fıkrasının (ç) bendinde öngörülen şartı sağlamaları gereklidir.</w:t>
      </w:r>
    </w:p>
    <w:p w14:paraId="71F343F3" w14:textId="33482774" w:rsidR="004D6B73" w:rsidRPr="001D4951" w:rsidRDefault="004D6B73" w:rsidP="004D6B73">
      <w:pPr>
        <w:shd w:val="clear" w:color="auto" w:fill="F2F2F2" w:themeFill="background1" w:themeFillShade="F2"/>
        <w:jc w:val="both"/>
        <w:rPr>
          <w:i/>
          <w:iCs/>
          <w:sz w:val="20"/>
          <w:szCs w:val="20"/>
        </w:rPr>
      </w:pPr>
      <w:r w:rsidRPr="001D4951">
        <w:rPr>
          <w:i/>
          <w:iCs/>
          <w:sz w:val="20"/>
          <w:szCs w:val="20"/>
        </w:rPr>
        <w:t>(2) Sürdürülebilirlik denetçisi olmak için 13</w:t>
      </w:r>
      <w:r w:rsidRPr="008B25EC">
        <w:rPr>
          <w:i/>
          <w:iCs/>
          <w:sz w:val="20"/>
          <w:szCs w:val="20"/>
        </w:rPr>
        <w:t>’</w:t>
      </w:r>
      <w:r w:rsidRPr="001D4951">
        <w:rPr>
          <w:i/>
          <w:iCs/>
          <w:sz w:val="20"/>
          <w:szCs w:val="20"/>
        </w:rPr>
        <w:t xml:space="preserve">üncü madde uyarınca aranan diğer şartlar saklı kalmak kaydıyla, </w:t>
      </w:r>
      <w:r w:rsidRPr="004D6B73">
        <w:rPr>
          <w:b/>
          <w:bCs/>
          <w:i/>
          <w:iCs/>
          <w:sz w:val="20"/>
          <w:szCs w:val="20"/>
        </w:rPr>
        <w:t>31/12/2026</w:t>
      </w:r>
      <w:r w:rsidRPr="001D4951">
        <w:rPr>
          <w:i/>
          <w:iCs/>
          <w:sz w:val="20"/>
          <w:szCs w:val="20"/>
        </w:rPr>
        <w:t xml:space="preserve"> tarihine kadar yapılacak yetkilendirilmelerde 15</w:t>
      </w:r>
      <w:r w:rsidRPr="008B25EC">
        <w:rPr>
          <w:i/>
          <w:iCs/>
          <w:sz w:val="20"/>
          <w:szCs w:val="20"/>
        </w:rPr>
        <w:t>’</w:t>
      </w:r>
      <w:r w:rsidRPr="001D4951">
        <w:rPr>
          <w:i/>
          <w:iCs/>
          <w:sz w:val="20"/>
          <w:szCs w:val="20"/>
        </w:rPr>
        <w:t>inci maddede öngörülen uygulamalı mesleki eğitim şartı aranmaz.</w:t>
      </w:r>
    </w:p>
    <w:p w14:paraId="1C82AAEE" w14:textId="77777777" w:rsidR="004D6B73" w:rsidRPr="001D4951" w:rsidRDefault="004D6B73" w:rsidP="004D6B73">
      <w:pPr>
        <w:shd w:val="clear" w:color="auto" w:fill="F2F2F2" w:themeFill="background1" w:themeFillShade="F2"/>
        <w:jc w:val="both"/>
        <w:rPr>
          <w:i/>
          <w:iCs/>
          <w:sz w:val="20"/>
          <w:szCs w:val="20"/>
        </w:rPr>
      </w:pPr>
      <w:r w:rsidRPr="001D4951">
        <w:rPr>
          <w:i/>
          <w:iCs/>
          <w:sz w:val="20"/>
          <w:szCs w:val="20"/>
        </w:rPr>
        <w:t xml:space="preserve">(3) </w:t>
      </w:r>
      <w:r w:rsidRPr="004D6B73">
        <w:rPr>
          <w:i/>
          <w:iCs/>
          <w:sz w:val="20"/>
          <w:szCs w:val="20"/>
        </w:rPr>
        <w:t>1/1/2027</w:t>
      </w:r>
      <w:r w:rsidRPr="001D4951">
        <w:rPr>
          <w:i/>
          <w:iCs/>
          <w:sz w:val="20"/>
          <w:szCs w:val="20"/>
        </w:rPr>
        <w:t xml:space="preserve"> tarihinden önce biten hesap dönemlerine ilişkin sürdürülebilirlik denetimlerinde, denetim ekiplerine ilişkin 18</w:t>
      </w:r>
      <w:r w:rsidRPr="008B25EC">
        <w:rPr>
          <w:i/>
          <w:iCs/>
          <w:sz w:val="20"/>
          <w:szCs w:val="20"/>
        </w:rPr>
        <w:t>’</w:t>
      </w:r>
      <w:r w:rsidRPr="001D4951">
        <w:rPr>
          <w:i/>
          <w:iCs/>
          <w:sz w:val="20"/>
          <w:szCs w:val="20"/>
        </w:rPr>
        <w:t>inci madde uyarınca aranan diğer şartlar saklı kalmak kaydıyla, denetim ekiplerinde sürdürülebilirlik alanında yetkili olmayan denetçilere yer verilebilir. Ancak, asıl denetim ekibindeki sorumlu denetçi ile en az bir denetçinin sürdürülebilirlik alanında yetkili olması şarttır.</w:t>
      </w:r>
    </w:p>
    <w:p w14:paraId="5BE4246E" w14:textId="77777777" w:rsidR="004D6B73" w:rsidRPr="001D4951" w:rsidRDefault="004D6B73" w:rsidP="004D6B73">
      <w:pPr>
        <w:shd w:val="clear" w:color="auto" w:fill="F2F2F2" w:themeFill="background1" w:themeFillShade="F2"/>
        <w:jc w:val="both"/>
        <w:rPr>
          <w:i/>
          <w:iCs/>
          <w:sz w:val="20"/>
          <w:szCs w:val="20"/>
        </w:rPr>
      </w:pPr>
      <w:r w:rsidRPr="001D4951">
        <w:rPr>
          <w:i/>
          <w:iCs/>
          <w:sz w:val="20"/>
          <w:szCs w:val="20"/>
        </w:rPr>
        <w:t>(4) 31/12/2028 tarihine kadar yapılacak olan sorumlu denetçi görevlendirmelerinde, 19</w:t>
      </w:r>
      <w:r w:rsidRPr="008B25EC">
        <w:rPr>
          <w:i/>
          <w:iCs/>
          <w:sz w:val="20"/>
          <w:szCs w:val="20"/>
        </w:rPr>
        <w:t>’</w:t>
      </w:r>
      <w:r w:rsidRPr="001D4951">
        <w:rPr>
          <w:i/>
          <w:iCs/>
          <w:sz w:val="20"/>
          <w:szCs w:val="20"/>
        </w:rPr>
        <w:t>uncu maddenin birinci fıkrasının (c) bendinde öngörülen şart aranmaz. Bu kapsamda sorumlu denetçi olarak görevlendirilenlerin, 31/12/2028 tarihine kadar 19</w:t>
      </w:r>
      <w:r w:rsidRPr="008B25EC">
        <w:rPr>
          <w:i/>
          <w:iCs/>
          <w:sz w:val="20"/>
          <w:szCs w:val="20"/>
        </w:rPr>
        <w:t>’</w:t>
      </w:r>
      <w:r w:rsidRPr="001D4951">
        <w:rPr>
          <w:i/>
          <w:iCs/>
          <w:sz w:val="20"/>
          <w:szCs w:val="20"/>
        </w:rPr>
        <w:t>uncu maddenin birinci fıkrasının (c) bendinde öngörülen şartı sağlamaları gereklidir.</w:t>
      </w:r>
    </w:p>
    <w:p w14:paraId="30A840E1" w14:textId="222A2D9F" w:rsidR="00233463" w:rsidRPr="00233463" w:rsidRDefault="004D6B73" w:rsidP="004A3C3A">
      <w:pPr>
        <w:shd w:val="clear" w:color="auto" w:fill="F2F2F2" w:themeFill="background1" w:themeFillShade="F2"/>
        <w:jc w:val="both"/>
        <w:rPr>
          <w:b/>
          <w:bCs/>
        </w:rPr>
      </w:pPr>
      <w:r w:rsidRPr="001D4951">
        <w:rPr>
          <w:i/>
          <w:iCs/>
          <w:sz w:val="20"/>
          <w:szCs w:val="20"/>
        </w:rPr>
        <w:t>(5) Kurul, bu maddede belirtilen süreleri üç yılı geçmemek üzere uzatmaya yetkilidir.</w:t>
      </w:r>
      <w:r w:rsidRPr="008B25EC">
        <w:rPr>
          <w:i/>
          <w:iCs/>
          <w:sz w:val="20"/>
          <w:szCs w:val="20"/>
        </w:rPr>
        <w:t>”</w:t>
      </w:r>
    </w:p>
    <w:sectPr w:rsidR="00233463" w:rsidRPr="00233463" w:rsidSect="004A3C3A">
      <w:headerReference w:type="default" r:id="rId9"/>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6278" w14:textId="77777777" w:rsidR="003F7F8C" w:rsidRDefault="003F7F8C" w:rsidP="00233463">
      <w:pPr>
        <w:spacing w:after="0" w:line="240" w:lineRule="auto"/>
      </w:pPr>
      <w:r>
        <w:separator/>
      </w:r>
    </w:p>
  </w:endnote>
  <w:endnote w:type="continuationSeparator" w:id="0">
    <w:p w14:paraId="32970983" w14:textId="77777777" w:rsidR="003F7F8C" w:rsidRDefault="003F7F8C" w:rsidP="0023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40271"/>
      <w:docPartObj>
        <w:docPartGallery w:val="Page Numbers (Bottom of Page)"/>
        <w:docPartUnique/>
      </w:docPartObj>
    </w:sdtPr>
    <w:sdtEndPr/>
    <w:sdtContent>
      <w:p w14:paraId="09C538C4" w14:textId="477D192D" w:rsidR="00233463" w:rsidRDefault="00233463">
        <w:pPr>
          <w:pStyle w:val="AltBilgi"/>
          <w:jc w:val="right"/>
        </w:pPr>
        <w:r>
          <w:fldChar w:fldCharType="begin"/>
        </w:r>
        <w:r>
          <w:instrText>PAGE   \* MERGEFORMAT</w:instrText>
        </w:r>
        <w:r>
          <w:fldChar w:fldCharType="separate"/>
        </w:r>
        <w:r>
          <w:t>2</w:t>
        </w:r>
        <w:r>
          <w:fldChar w:fldCharType="end"/>
        </w:r>
      </w:p>
    </w:sdtContent>
  </w:sdt>
  <w:p w14:paraId="571FE298" w14:textId="77777777" w:rsidR="00233463" w:rsidRDefault="002334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67A0" w14:textId="77777777" w:rsidR="003F7F8C" w:rsidRDefault="003F7F8C" w:rsidP="00233463">
      <w:pPr>
        <w:spacing w:after="0" w:line="240" w:lineRule="auto"/>
      </w:pPr>
      <w:r>
        <w:separator/>
      </w:r>
    </w:p>
  </w:footnote>
  <w:footnote w:type="continuationSeparator" w:id="0">
    <w:p w14:paraId="14CAC348" w14:textId="77777777" w:rsidR="003F7F8C" w:rsidRDefault="003F7F8C" w:rsidP="0023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04DB7F04" w14:textId="11FCF9AB" w:rsidR="00F073F0" w:rsidRDefault="00F073F0">
    <w:pPr>
      <w:pStyle w:val="stBilgi"/>
    </w:pPr>
    <w:r w:rsidRPr="00F22779">
      <w:rPr>
        <w:b/>
        <w:bCs/>
      </w:rPr>
      <w:object w:dxaOrig="9072" w:dyaOrig="1927" w14:anchorId="7412D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53.5pt;height:96.5pt">
          <v:imagedata r:id="rId1" o:title=""/>
        </v:shape>
        <o:OLEObject Type="Embed" ProgID="Word.Document.12" ShapeID="_x0000_i1047" DrawAspect="Content" ObjectID="_1820749674"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51"/>
    <w:rsid w:val="000E582B"/>
    <w:rsid w:val="00170E35"/>
    <w:rsid w:val="00190294"/>
    <w:rsid w:val="001D4951"/>
    <w:rsid w:val="00233463"/>
    <w:rsid w:val="003F7F8C"/>
    <w:rsid w:val="00422229"/>
    <w:rsid w:val="004915E0"/>
    <w:rsid w:val="004A3C3A"/>
    <w:rsid w:val="004D6B73"/>
    <w:rsid w:val="0051211E"/>
    <w:rsid w:val="00794D3A"/>
    <w:rsid w:val="0082531A"/>
    <w:rsid w:val="008B25EC"/>
    <w:rsid w:val="00940021"/>
    <w:rsid w:val="009B6807"/>
    <w:rsid w:val="00B07FC8"/>
    <w:rsid w:val="00B50B6B"/>
    <w:rsid w:val="00C23507"/>
    <w:rsid w:val="00C37498"/>
    <w:rsid w:val="00F07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25CE"/>
  <w15:chartTrackingRefBased/>
  <w15:docId w15:val="{189B8C5C-9859-4C25-A723-3F579D13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4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4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495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495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495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49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49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49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49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95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495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495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495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495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49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49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49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4951"/>
    <w:rPr>
      <w:rFonts w:eastAsiaTheme="majorEastAsia" w:cstheme="majorBidi"/>
      <w:color w:val="272727" w:themeColor="text1" w:themeTint="D8"/>
    </w:rPr>
  </w:style>
  <w:style w:type="paragraph" w:styleId="KonuBal">
    <w:name w:val="Title"/>
    <w:basedOn w:val="Normal"/>
    <w:next w:val="Normal"/>
    <w:link w:val="KonuBalChar"/>
    <w:uiPriority w:val="10"/>
    <w:qFormat/>
    <w:rsid w:val="001D4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49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49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49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49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4951"/>
    <w:rPr>
      <w:i/>
      <w:iCs/>
      <w:color w:val="404040" w:themeColor="text1" w:themeTint="BF"/>
    </w:rPr>
  </w:style>
  <w:style w:type="paragraph" w:styleId="ListeParagraf">
    <w:name w:val="List Paragraph"/>
    <w:basedOn w:val="Normal"/>
    <w:uiPriority w:val="34"/>
    <w:qFormat/>
    <w:rsid w:val="001D4951"/>
    <w:pPr>
      <w:ind w:left="720"/>
      <w:contextualSpacing/>
    </w:pPr>
  </w:style>
  <w:style w:type="character" w:styleId="GlVurgulama">
    <w:name w:val="Intense Emphasis"/>
    <w:basedOn w:val="VarsaylanParagrafYazTipi"/>
    <w:uiPriority w:val="21"/>
    <w:qFormat/>
    <w:rsid w:val="001D4951"/>
    <w:rPr>
      <w:i/>
      <w:iCs/>
      <w:color w:val="2F5496" w:themeColor="accent1" w:themeShade="BF"/>
    </w:rPr>
  </w:style>
  <w:style w:type="paragraph" w:styleId="GlAlnt">
    <w:name w:val="Intense Quote"/>
    <w:basedOn w:val="Normal"/>
    <w:next w:val="Normal"/>
    <w:link w:val="GlAlntChar"/>
    <w:uiPriority w:val="30"/>
    <w:qFormat/>
    <w:rsid w:val="001D4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4951"/>
    <w:rPr>
      <w:i/>
      <w:iCs/>
      <w:color w:val="2F5496" w:themeColor="accent1" w:themeShade="BF"/>
    </w:rPr>
  </w:style>
  <w:style w:type="character" w:styleId="GlBavuru">
    <w:name w:val="Intense Reference"/>
    <w:basedOn w:val="VarsaylanParagrafYazTipi"/>
    <w:uiPriority w:val="32"/>
    <w:qFormat/>
    <w:rsid w:val="001D4951"/>
    <w:rPr>
      <w:b/>
      <w:bCs/>
      <w:smallCaps/>
      <w:color w:val="2F5496" w:themeColor="accent1" w:themeShade="BF"/>
      <w:spacing w:val="5"/>
    </w:rPr>
  </w:style>
  <w:style w:type="paragraph" w:styleId="stBilgi">
    <w:name w:val="header"/>
    <w:basedOn w:val="Normal"/>
    <w:link w:val="stBilgiChar"/>
    <w:uiPriority w:val="99"/>
    <w:unhideWhenUsed/>
    <w:rsid w:val="001D49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4951"/>
  </w:style>
  <w:style w:type="character" w:styleId="Kpr">
    <w:name w:val="Hyperlink"/>
    <w:basedOn w:val="VarsaylanParagrafYazTipi"/>
    <w:uiPriority w:val="99"/>
    <w:unhideWhenUsed/>
    <w:rsid w:val="001D4951"/>
    <w:rPr>
      <w:color w:val="0563C1" w:themeColor="hyperlink"/>
      <w:u w:val="single"/>
    </w:rPr>
  </w:style>
  <w:style w:type="character" w:styleId="zmlenmeyenBahsetme">
    <w:name w:val="Unresolved Mention"/>
    <w:basedOn w:val="VarsaylanParagrafYazTipi"/>
    <w:uiPriority w:val="99"/>
    <w:semiHidden/>
    <w:unhideWhenUsed/>
    <w:rsid w:val="001D4951"/>
    <w:rPr>
      <w:color w:val="605E5C"/>
      <w:shd w:val="clear" w:color="auto" w:fill="E1DFDD"/>
    </w:rPr>
  </w:style>
  <w:style w:type="paragraph" w:styleId="AltBilgi">
    <w:name w:val="footer"/>
    <w:basedOn w:val="Normal"/>
    <w:link w:val="AltBilgiChar"/>
    <w:uiPriority w:val="99"/>
    <w:unhideWhenUsed/>
    <w:rsid w:val="002334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25/01/17/surdurulebilirlik-denetimi-yonetmeligi/" TargetMode="External"/><Relationship Id="rId3" Type="http://schemas.openxmlformats.org/officeDocument/2006/relationships/webSettings" Target="webSettings.xml"/><Relationship Id="rId7" Type="http://schemas.openxmlformats.org/officeDocument/2006/relationships/hyperlink" Target="https://www.alomaliye.com/2025/01/17/surdurulebilirlik-denetimi-yonetmelig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25/01/17/surdurulebilirlik-denetimi-yonetmelig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984</Words>
  <Characters>5610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13</cp:revision>
  <dcterms:created xsi:type="dcterms:W3CDTF">2025-09-26T05:30:00Z</dcterms:created>
  <dcterms:modified xsi:type="dcterms:W3CDTF">2025-09-30T12:01:00Z</dcterms:modified>
</cp:coreProperties>
</file>